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CC06" w14:textId="6FABBDDC" w:rsidR="000541DA" w:rsidRPr="00BD3C0D" w:rsidRDefault="000541DA" w:rsidP="000541DA">
      <w:pPr>
        <w:pStyle w:val="ListParagraph"/>
        <w:numPr>
          <w:ilvl w:val="0"/>
          <w:numId w:val="3"/>
        </w:numPr>
        <w:rPr>
          <w:sz w:val="20"/>
          <w:szCs w:val="20"/>
        </w:rPr>
      </w:pPr>
      <w:r w:rsidRPr="00BD3C0D">
        <w:rPr>
          <w:sz w:val="20"/>
          <w:szCs w:val="20"/>
        </w:rPr>
        <w:t xml:space="preserve">An estimated 1.3 billion people – or 1 in 6 people worldwide </w:t>
      </w:r>
      <w:r w:rsidR="00E12C77" w:rsidRPr="00BD3C0D">
        <w:rPr>
          <w:sz w:val="20"/>
          <w:szCs w:val="20"/>
        </w:rPr>
        <w:t>or 16% of the global population – experience a significant disability today.</w:t>
      </w:r>
      <w:r w:rsidR="00E12C77" w:rsidRPr="00BD3C0D">
        <w:rPr>
          <w:rStyle w:val="FootnoteReference"/>
          <w:sz w:val="20"/>
          <w:szCs w:val="20"/>
        </w:rPr>
        <w:footnoteReference w:id="1"/>
      </w:r>
    </w:p>
    <w:p w14:paraId="6A7861C6" w14:textId="2B42675E" w:rsidR="000541DA" w:rsidRPr="00BD3C0D" w:rsidRDefault="00000000" w:rsidP="000541DA">
      <w:pPr>
        <w:pStyle w:val="ListParagraph"/>
        <w:numPr>
          <w:ilvl w:val="0"/>
          <w:numId w:val="3"/>
        </w:numPr>
        <w:rPr>
          <w:sz w:val="20"/>
          <w:szCs w:val="20"/>
        </w:rPr>
      </w:pPr>
      <w:r w:rsidRPr="00BD3C0D">
        <w:rPr>
          <w:sz w:val="20"/>
          <w:szCs w:val="20"/>
        </w:rPr>
        <w:t xml:space="preserve">World Report on Disability indicates that the </w:t>
      </w:r>
      <w:r w:rsidR="000541DA" w:rsidRPr="00BD3C0D">
        <w:rPr>
          <w:sz w:val="20"/>
          <w:szCs w:val="20"/>
          <w:lang w:val="en-US"/>
        </w:rPr>
        <w:t>women with</w:t>
      </w:r>
      <w:r w:rsidRPr="00BD3C0D">
        <w:rPr>
          <w:sz w:val="20"/>
          <w:szCs w:val="20"/>
        </w:rPr>
        <w:t xml:space="preserve"> disability prevalence rate is 19.2 per cent, whereas it is 12 per cent for men.</w:t>
      </w:r>
      <w:r w:rsidR="00A87864" w:rsidRPr="00BD3C0D">
        <w:rPr>
          <w:rStyle w:val="FootnoteReference"/>
          <w:sz w:val="20"/>
          <w:szCs w:val="20"/>
        </w:rPr>
        <w:footnoteReference w:id="2"/>
      </w:r>
      <w:r w:rsidR="00E12C77" w:rsidRPr="00BD3C0D">
        <w:rPr>
          <w:sz w:val="20"/>
          <w:szCs w:val="20"/>
          <w:lang w:val="en-US"/>
        </w:rPr>
        <w:t xml:space="preserve"> </w:t>
      </w:r>
    </w:p>
    <w:p w14:paraId="21A80441" w14:textId="376DF08E" w:rsidR="00607AC7" w:rsidRPr="00BD3C0D" w:rsidRDefault="00CA3AF5" w:rsidP="000541DA">
      <w:pPr>
        <w:pStyle w:val="ListParagraph"/>
        <w:numPr>
          <w:ilvl w:val="0"/>
          <w:numId w:val="3"/>
        </w:numPr>
        <w:rPr>
          <w:sz w:val="20"/>
          <w:szCs w:val="20"/>
        </w:rPr>
      </w:pPr>
      <w:r w:rsidRPr="00BD3C0D">
        <w:rPr>
          <w:sz w:val="20"/>
          <w:szCs w:val="20"/>
        </w:rPr>
        <w:t>Around one in five women worldwide is a woman with a disability.</w:t>
      </w:r>
      <w:r w:rsidR="008632E5" w:rsidRPr="00BD3C0D">
        <w:rPr>
          <w:rStyle w:val="FootnoteReference"/>
          <w:sz w:val="20"/>
          <w:szCs w:val="20"/>
        </w:rPr>
        <w:footnoteReference w:id="3"/>
      </w:r>
      <w:r w:rsidRPr="00BD3C0D">
        <w:rPr>
          <w:sz w:val="20"/>
          <w:szCs w:val="20"/>
        </w:rPr>
        <w:t xml:space="preserve"> </w:t>
      </w:r>
    </w:p>
    <w:p w14:paraId="08A81B8A" w14:textId="4A8F41CF" w:rsidR="00607AC7" w:rsidRPr="00BD3C0D" w:rsidRDefault="00000000" w:rsidP="000541DA">
      <w:pPr>
        <w:pStyle w:val="ListParagraph"/>
        <w:numPr>
          <w:ilvl w:val="0"/>
          <w:numId w:val="3"/>
        </w:numPr>
        <w:rPr>
          <w:sz w:val="20"/>
          <w:szCs w:val="20"/>
        </w:rPr>
      </w:pPr>
      <w:r w:rsidRPr="00BD3C0D">
        <w:rPr>
          <w:sz w:val="20"/>
          <w:szCs w:val="20"/>
        </w:rPr>
        <w:t xml:space="preserve">In low and middle-income countries, </w:t>
      </w:r>
      <w:r w:rsidRPr="00BD3C0D">
        <w:rPr>
          <w:sz w:val="20"/>
          <w:szCs w:val="20"/>
        </w:rPr>
        <w:t>women with disabilities c</w:t>
      </w:r>
      <w:r w:rsidRPr="00BD3C0D">
        <w:rPr>
          <w:sz w:val="20"/>
          <w:szCs w:val="20"/>
        </w:rPr>
        <w:t>omprise 3/4 of all disabled people in these countries</w:t>
      </w:r>
      <w:r w:rsidR="00BD3C0D">
        <w:rPr>
          <w:sz w:val="20"/>
          <w:szCs w:val="20"/>
          <w:lang w:val="en-US"/>
        </w:rPr>
        <w:t>.</w:t>
      </w:r>
      <w:r w:rsidR="008632E5" w:rsidRPr="00BD3C0D">
        <w:rPr>
          <w:rStyle w:val="FootnoteReference"/>
          <w:sz w:val="20"/>
          <w:szCs w:val="20"/>
        </w:rPr>
        <w:footnoteReference w:id="4"/>
      </w:r>
    </w:p>
    <w:p w14:paraId="223B30B6" w14:textId="7088F119" w:rsidR="000541DA" w:rsidRPr="00BD3C0D" w:rsidRDefault="00000000" w:rsidP="000541DA">
      <w:pPr>
        <w:pStyle w:val="ListParagraph"/>
        <w:numPr>
          <w:ilvl w:val="0"/>
          <w:numId w:val="3"/>
        </w:numPr>
        <w:rPr>
          <w:sz w:val="20"/>
          <w:szCs w:val="20"/>
        </w:rPr>
      </w:pPr>
      <w:r w:rsidRPr="00BD3C0D">
        <w:rPr>
          <w:sz w:val="20"/>
          <w:szCs w:val="20"/>
        </w:rPr>
        <w:t xml:space="preserve">65-70 per cent of women with disabilities in </w:t>
      </w:r>
      <w:r w:rsidR="00CA3AF5" w:rsidRPr="00BD3C0D">
        <w:rPr>
          <w:sz w:val="20"/>
          <w:szCs w:val="20"/>
        </w:rPr>
        <w:t>low- and middle-income</w:t>
      </w:r>
      <w:r w:rsidRPr="00BD3C0D">
        <w:rPr>
          <w:sz w:val="20"/>
          <w:szCs w:val="20"/>
        </w:rPr>
        <w:t xml:space="preserve"> countries live in rural areas.</w:t>
      </w:r>
      <w:r w:rsidR="008632E5" w:rsidRPr="00BD3C0D">
        <w:rPr>
          <w:rStyle w:val="FootnoteReference"/>
          <w:sz w:val="20"/>
          <w:szCs w:val="20"/>
        </w:rPr>
        <w:footnoteReference w:id="5"/>
      </w:r>
      <w:r w:rsidRPr="00BD3C0D">
        <w:rPr>
          <w:sz w:val="20"/>
          <w:szCs w:val="20"/>
        </w:rPr>
        <w:t xml:space="preserve"> </w:t>
      </w:r>
    </w:p>
    <w:p w14:paraId="783A7AF8" w14:textId="75286DB3" w:rsidR="00CA3AF5" w:rsidRPr="00BD3C0D" w:rsidRDefault="00000000" w:rsidP="000541DA">
      <w:pPr>
        <w:pStyle w:val="ListParagraph"/>
        <w:numPr>
          <w:ilvl w:val="0"/>
          <w:numId w:val="3"/>
        </w:numPr>
        <w:rPr>
          <w:sz w:val="20"/>
          <w:szCs w:val="20"/>
        </w:rPr>
      </w:pPr>
      <w:r w:rsidRPr="00BD3C0D">
        <w:rPr>
          <w:sz w:val="20"/>
          <w:szCs w:val="20"/>
        </w:rPr>
        <w:t>Girls and young women with disabilities face up to 10 times more</w:t>
      </w:r>
      <w:r w:rsidRPr="00BD3C0D">
        <w:rPr>
          <w:sz w:val="20"/>
          <w:szCs w:val="20"/>
        </w:rPr>
        <w:t xml:space="preserve"> gender-based violence than those without disabilities. Girls with intellectual </w:t>
      </w:r>
      <w:r w:rsidR="00CA3AF5" w:rsidRPr="00BD3C0D">
        <w:rPr>
          <w:sz w:val="20"/>
          <w:szCs w:val="20"/>
          <w:lang w:val="en-US"/>
        </w:rPr>
        <w:t xml:space="preserve">and psychosocial </w:t>
      </w:r>
      <w:r w:rsidRPr="00BD3C0D">
        <w:rPr>
          <w:sz w:val="20"/>
          <w:szCs w:val="20"/>
        </w:rPr>
        <w:t>disabilities are particularly vulnerable to sexual violence.</w:t>
      </w:r>
      <w:r w:rsidR="008632E5" w:rsidRPr="00BD3C0D">
        <w:rPr>
          <w:rStyle w:val="FootnoteReference"/>
          <w:sz w:val="20"/>
          <w:szCs w:val="20"/>
        </w:rPr>
        <w:footnoteReference w:id="6"/>
      </w:r>
    </w:p>
    <w:p w14:paraId="5F5F70CB" w14:textId="2D927472" w:rsidR="000541DA" w:rsidRPr="00BD3C0D" w:rsidRDefault="000541DA" w:rsidP="000541DA">
      <w:pPr>
        <w:pStyle w:val="ListParagraph"/>
        <w:numPr>
          <w:ilvl w:val="0"/>
          <w:numId w:val="3"/>
        </w:numPr>
        <w:rPr>
          <w:sz w:val="20"/>
          <w:szCs w:val="20"/>
        </w:rPr>
      </w:pPr>
      <w:r w:rsidRPr="00BD3C0D">
        <w:rPr>
          <w:sz w:val="20"/>
          <w:szCs w:val="20"/>
        </w:rPr>
        <w:t>Women with disabilities being 2–4 times more likely to experience intimate partner violence than those without disabilities</w:t>
      </w:r>
      <w:r w:rsidRPr="00BD3C0D">
        <w:rPr>
          <w:sz w:val="20"/>
          <w:szCs w:val="20"/>
          <w:lang w:val="en-US"/>
        </w:rPr>
        <w:t>.</w:t>
      </w:r>
      <w:r w:rsidR="00306B25" w:rsidRPr="00BD3C0D">
        <w:rPr>
          <w:rStyle w:val="FootnoteReference"/>
          <w:sz w:val="20"/>
          <w:szCs w:val="20"/>
          <w:lang w:val="en-US"/>
        </w:rPr>
        <w:footnoteReference w:id="7"/>
      </w:r>
    </w:p>
    <w:p w14:paraId="05C2EA5C" w14:textId="740943FE" w:rsidR="00CA3AF5" w:rsidRPr="00BD3C0D" w:rsidRDefault="00CA3AF5" w:rsidP="000541DA">
      <w:pPr>
        <w:pStyle w:val="ListParagraph"/>
        <w:numPr>
          <w:ilvl w:val="0"/>
          <w:numId w:val="3"/>
        </w:numPr>
        <w:rPr>
          <w:sz w:val="20"/>
          <w:szCs w:val="20"/>
        </w:rPr>
      </w:pPr>
      <w:r w:rsidRPr="00BD3C0D">
        <w:rPr>
          <w:sz w:val="20"/>
          <w:szCs w:val="20"/>
        </w:rPr>
        <w:t>For women with disabilities, gender-based violence is often compounded by disability-based discrimination.</w:t>
      </w:r>
      <w:r w:rsidR="008632E5" w:rsidRPr="00BD3C0D">
        <w:rPr>
          <w:rStyle w:val="FootnoteReference"/>
          <w:sz w:val="20"/>
          <w:szCs w:val="20"/>
        </w:rPr>
        <w:footnoteReference w:id="8"/>
      </w:r>
    </w:p>
    <w:p w14:paraId="4D082C48" w14:textId="2DB8A50C" w:rsidR="00CA3AF5" w:rsidRPr="00BD3C0D" w:rsidRDefault="00CA3AF5" w:rsidP="000541DA">
      <w:pPr>
        <w:pStyle w:val="ListParagraph"/>
        <w:numPr>
          <w:ilvl w:val="0"/>
          <w:numId w:val="3"/>
        </w:numPr>
        <w:rPr>
          <w:sz w:val="20"/>
          <w:szCs w:val="20"/>
          <w:lang w:val="en-US"/>
        </w:rPr>
      </w:pPr>
      <w:r w:rsidRPr="00BD3C0D">
        <w:rPr>
          <w:sz w:val="20"/>
          <w:szCs w:val="20"/>
        </w:rPr>
        <w:t>Women with a disability are often considered weak</w:t>
      </w:r>
      <w:r w:rsidRPr="00BD3C0D">
        <w:rPr>
          <w:sz w:val="20"/>
          <w:szCs w:val="20"/>
          <w:lang w:val="en-US"/>
        </w:rPr>
        <w:t xml:space="preserve"> and are often in isolation which forces them to be in vulnerable situations </w:t>
      </w:r>
      <w:r w:rsidRPr="00BD3C0D">
        <w:rPr>
          <w:sz w:val="20"/>
          <w:szCs w:val="20"/>
        </w:rPr>
        <w:t>an</w:t>
      </w:r>
      <w:r w:rsidRPr="00BD3C0D">
        <w:rPr>
          <w:sz w:val="20"/>
          <w:szCs w:val="20"/>
          <w:lang w:val="en-US"/>
        </w:rPr>
        <w:t>d therefore</w:t>
      </w:r>
      <w:r w:rsidRPr="00BD3C0D">
        <w:rPr>
          <w:sz w:val="20"/>
          <w:szCs w:val="20"/>
        </w:rPr>
        <w:t xml:space="preserve"> face a heightened</w:t>
      </w:r>
      <w:r w:rsidRPr="00BD3C0D">
        <w:rPr>
          <w:sz w:val="20"/>
          <w:szCs w:val="20"/>
          <w:lang w:val="en-US"/>
        </w:rPr>
        <w:t xml:space="preserve"> disability and </w:t>
      </w:r>
      <w:r w:rsidRPr="00BD3C0D">
        <w:rPr>
          <w:sz w:val="20"/>
          <w:szCs w:val="20"/>
          <w:lang w:val="en-US"/>
        </w:rPr>
        <w:t xml:space="preserve">based violence.  </w:t>
      </w:r>
      <w:r w:rsidR="008632E5" w:rsidRPr="00BD3C0D">
        <w:rPr>
          <w:rStyle w:val="FootnoteReference"/>
          <w:sz w:val="20"/>
          <w:szCs w:val="20"/>
          <w:lang w:val="en-US"/>
        </w:rPr>
        <w:footnoteReference w:id="9"/>
      </w:r>
    </w:p>
    <w:p w14:paraId="63A91EBE" w14:textId="5E3D5EDD" w:rsidR="00CA3AF5" w:rsidRPr="00BD3C0D" w:rsidRDefault="00CA3AF5" w:rsidP="000541DA">
      <w:pPr>
        <w:pStyle w:val="ListParagraph"/>
        <w:numPr>
          <w:ilvl w:val="0"/>
          <w:numId w:val="3"/>
        </w:numPr>
        <w:rPr>
          <w:sz w:val="20"/>
          <w:szCs w:val="20"/>
          <w:lang w:val="en-US"/>
        </w:rPr>
      </w:pPr>
      <w:r w:rsidRPr="00BD3C0D">
        <w:rPr>
          <w:sz w:val="20"/>
          <w:szCs w:val="20"/>
          <w:lang w:val="en-US"/>
        </w:rPr>
        <w:t>Women</w:t>
      </w:r>
      <w:r w:rsidRPr="00BD3C0D">
        <w:rPr>
          <w:sz w:val="20"/>
          <w:szCs w:val="20"/>
          <w:lang w:val="en-US"/>
        </w:rPr>
        <w:t xml:space="preserve"> with disabilities face double or multiple forms of discrimination because of their gender and disabling conditions.</w:t>
      </w:r>
      <w:r w:rsidR="008632E5" w:rsidRPr="00BD3C0D">
        <w:rPr>
          <w:rStyle w:val="FootnoteReference"/>
          <w:sz w:val="20"/>
          <w:szCs w:val="20"/>
          <w:lang w:val="en-US"/>
        </w:rPr>
        <w:footnoteReference w:id="10"/>
      </w:r>
      <w:r w:rsidRPr="00BD3C0D">
        <w:rPr>
          <w:sz w:val="20"/>
          <w:szCs w:val="20"/>
          <w:lang w:val="en-US"/>
        </w:rPr>
        <w:t xml:space="preserve">  </w:t>
      </w:r>
    </w:p>
    <w:p w14:paraId="6A0D5A94" w14:textId="22B594BF" w:rsidR="00CA3AF5" w:rsidRPr="00BD3C0D" w:rsidRDefault="00CA3AF5" w:rsidP="000541DA">
      <w:pPr>
        <w:pStyle w:val="ListParagraph"/>
        <w:numPr>
          <w:ilvl w:val="0"/>
          <w:numId w:val="3"/>
        </w:numPr>
        <w:rPr>
          <w:sz w:val="20"/>
          <w:szCs w:val="20"/>
          <w:lang w:val="en-US"/>
        </w:rPr>
      </w:pPr>
      <w:r w:rsidRPr="00BD3C0D">
        <w:rPr>
          <w:sz w:val="20"/>
          <w:szCs w:val="20"/>
          <w:lang w:val="en-US"/>
        </w:rPr>
        <w:t>Women with disabilities also face unique forms of violence results from the intersectional challenges they face.</w:t>
      </w:r>
      <w:r w:rsidR="0044384D" w:rsidRPr="00BD3C0D">
        <w:rPr>
          <w:rStyle w:val="FootnoteReference"/>
          <w:sz w:val="20"/>
          <w:szCs w:val="20"/>
          <w:lang w:val="en-US"/>
        </w:rPr>
        <w:footnoteReference w:id="11"/>
      </w:r>
    </w:p>
    <w:p w14:paraId="781844AF" w14:textId="1C8EDD86" w:rsidR="00CA3AF5" w:rsidRPr="00BD3C0D" w:rsidRDefault="000541DA" w:rsidP="000541DA">
      <w:pPr>
        <w:pStyle w:val="ListParagraph"/>
        <w:numPr>
          <w:ilvl w:val="0"/>
          <w:numId w:val="3"/>
        </w:numPr>
        <w:rPr>
          <w:sz w:val="20"/>
          <w:szCs w:val="20"/>
          <w:lang w:val="en-US"/>
        </w:rPr>
      </w:pPr>
      <w:r w:rsidRPr="00BD3C0D">
        <w:rPr>
          <w:sz w:val="20"/>
          <w:szCs w:val="20"/>
          <w:lang w:val="en-US"/>
        </w:rPr>
        <w:t>I</w:t>
      </w:r>
      <w:r w:rsidR="00CA3AF5" w:rsidRPr="00BD3C0D">
        <w:rPr>
          <w:sz w:val="20"/>
          <w:szCs w:val="20"/>
          <w:lang w:val="en-US"/>
        </w:rPr>
        <w:t xml:space="preserve">n the Pacific, </w:t>
      </w:r>
      <w:r w:rsidR="00306B25" w:rsidRPr="00BD3C0D">
        <w:rPr>
          <w:sz w:val="20"/>
          <w:szCs w:val="20"/>
          <w:lang w:val="en-US"/>
        </w:rPr>
        <w:t xml:space="preserve">UNFPA </w:t>
      </w:r>
      <w:r w:rsidR="00CA3AF5" w:rsidRPr="00BD3C0D">
        <w:rPr>
          <w:sz w:val="20"/>
          <w:szCs w:val="20"/>
          <w:lang w:val="en-US"/>
        </w:rPr>
        <w:t>findings</w:t>
      </w:r>
      <w:r w:rsidR="00306B25" w:rsidRPr="00BD3C0D">
        <w:rPr>
          <w:sz w:val="20"/>
          <w:szCs w:val="20"/>
          <w:lang w:val="en-US"/>
        </w:rPr>
        <w:t xml:space="preserve"> and assessment</w:t>
      </w:r>
      <w:r w:rsidR="00CA3AF5" w:rsidRPr="00BD3C0D">
        <w:rPr>
          <w:sz w:val="20"/>
          <w:szCs w:val="20"/>
          <w:lang w:val="en-US"/>
        </w:rPr>
        <w:t xml:space="preserve"> show </w:t>
      </w:r>
      <w:r w:rsidRPr="00BD3C0D">
        <w:rPr>
          <w:sz w:val="20"/>
          <w:szCs w:val="20"/>
          <w:lang w:val="en-US"/>
        </w:rPr>
        <w:t>that w</w:t>
      </w:r>
      <w:r w:rsidR="00CA3AF5" w:rsidRPr="00BD3C0D">
        <w:rPr>
          <w:sz w:val="20"/>
          <w:szCs w:val="20"/>
          <w:lang w:val="en-US"/>
        </w:rPr>
        <w:t>omen and young people with disabilities face widespread stigma and discriminatory attitudes relating to SRHR and GBV.</w:t>
      </w:r>
      <w:r w:rsidR="0044384D" w:rsidRPr="00BD3C0D">
        <w:rPr>
          <w:rStyle w:val="FootnoteReference"/>
          <w:sz w:val="20"/>
          <w:szCs w:val="20"/>
          <w:lang w:val="en-US"/>
        </w:rPr>
        <w:footnoteReference w:id="12"/>
      </w:r>
    </w:p>
    <w:p w14:paraId="560FDCFE" w14:textId="0BBBD894" w:rsidR="00CA3AF5" w:rsidRPr="00BD3C0D" w:rsidRDefault="00CA3AF5" w:rsidP="000541DA">
      <w:pPr>
        <w:pStyle w:val="ListParagraph"/>
        <w:numPr>
          <w:ilvl w:val="0"/>
          <w:numId w:val="3"/>
        </w:numPr>
        <w:rPr>
          <w:sz w:val="20"/>
          <w:szCs w:val="20"/>
          <w:lang w:val="en-US"/>
        </w:rPr>
      </w:pPr>
      <w:r w:rsidRPr="00BD3C0D">
        <w:rPr>
          <w:sz w:val="20"/>
          <w:szCs w:val="20"/>
          <w:lang w:val="en-US"/>
        </w:rPr>
        <w:t>Women and young people with disabilities living in Fiji face significant barriers that hinder their full and effective participation in society on an equal basis with others.</w:t>
      </w:r>
      <w:r w:rsidR="000541DA" w:rsidRPr="00BD3C0D">
        <w:rPr>
          <w:sz w:val="20"/>
          <w:szCs w:val="20"/>
          <w:lang w:val="en-US"/>
        </w:rPr>
        <w:t xml:space="preserve">  T</w:t>
      </w:r>
      <w:r w:rsidRPr="00BD3C0D">
        <w:rPr>
          <w:sz w:val="20"/>
          <w:szCs w:val="20"/>
          <w:lang w:val="en-US"/>
        </w:rPr>
        <w:t>hey are prevented from fully realizing their sexual and reproductive health and rights (SRHR) and their rights to legal capacity and to be free of gender-based violence.</w:t>
      </w:r>
      <w:r w:rsidR="0044384D" w:rsidRPr="00BD3C0D">
        <w:rPr>
          <w:rStyle w:val="FootnoteReference"/>
          <w:sz w:val="20"/>
          <w:szCs w:val="20"/>
          <w:lang w:val="en-US"/>
        </w:rPr>
        <w:footnoteReference w:id="13"/>
      </w:r>
    </w:p>
    <w:p w14:paraId="399DDA02" w14:textId="60A5B330" w:rsidR="00CA3AF5" w:rsidRPr="00BD3C0D" w:rsidRDefault="00CA3AF5" w:rsidP="000541DA">
      <w:pPr>
        <w:pStyle w:val="ListParagraph"/>
        <w:numPr>
          <w:ilvl w:val="0"/>
          <w:numId w:val="3"/>
        </w:numPr>
        <w:rPr>
          <w:sz w:val="20"/>
          <w:szCs w:val="20"/>
        </w:rPr>
      </w:pPr>
      <w:r w:rsidRPr="00BD3C0D">
        <w:rPr>
          <w:sz w:val="20"/>
          <w:szCs w:val="20"/>
        </w:rPr>
        <w:t>Women and young people with disabilities in Samoa experience a range of restrictions to accessing sexual and reproductive health (SRH) and gender-based violence (GBV) services on an equal basis with others and to realizing their rights to SRH legal capacity, and freedom from violence. </w:t>
      </w:r>
      <w:r w:rsidR="0044384D" w:rsidRPr="00BD3C0D">
        <w:rPr>
          <w:rStyle w:val="FootnoteReference"/>
          <w:sz w:val="20"/>
          <w:szCs w:val="20"/>
        </w:rPr>
        <w:footnoteReference w:id="14"/>
      </w:r>
    </w:p>
    <w:p w14:paraId="77C1617B" w14:textId="1C5D640C" w:rsidR="00CA3AF5" w:rsidRPr="00BD3C0D" w:rsidRDefault="00CA3AF5" w:rsidP="000541DA">
      <w:pPr>
        <w:pStyle w:val="ListParagraph"/>
        <w:numPr>
          <w:ilvl w:val="0"/>
          <w:numId w:val="3"/>
        </w:numPr>
        <w:rPr>
          <w:sz w:val="20"/>
          <w:szCs w:val="20"/>
          <w:lang w:val="en-US"/>
        </w:rPr>
      </w:pPr>
      <w:r w:rsidRPr="00BD3C0D">
        <w:rPr>
          <w:sz w:val="20"/>
          <w:szCs w:val="20"/>
          <w:lang w:val="en-US"/>
        </w:rPr>
        <w:t>Due to the limited implementation of the Convention of the Rights of Persons with Disabilities (CRPD) and the national legal and policy frameworks on gender and disability rights, persons with disabilities living in Vanuatu experience extreme forms of marginalization and significant restrictions to their autonomy and self-determination.</w:t>
      </w:r>
      <w:r w:rsidR="0044384D" w:rsidRPr="00BD3C0D">
        <w:rPr>
          <w:rStyle w:val="FootnoteReference"/>
          <w:sz w:val="20"/>
          <w:szCs w:val="20"/>
          <w:lang w:val="en-US"/>
        </w:rPr>
        <w:footnoteReference w:id="15"/>
      </w:r>
    </w:p>
    <w:p w14:paraId="50C594F5" w14:textId="6021B773" w:rsidR="00CA3AF5" w:rsidRPr="00BD3C0D" w:rsidRDefault="00CA3AF5" w:rsidP="000541DA">
      <w:pPr>
        <w:pStyle w:val="ListParagraph"/>
        <w:numPr>
          <w:ilvl w:val="0"/>
          <w:numId w:val="3"/>
        </w:numPr>
        <w:rPr>
          <w:sz w:val="20"/>
          <w:szCs w:val="20"/>
        </w:rPr>
      </w:pPr>
      <w:r w:rsidRPr="00BD3C0D">
        <w:rPr>
          <w:sz w:val="20"/>
          <w:szCs w:val="20"/>
          <w:lang w:val="en-US"/>
        </w:rPr>
        <w:t xml:space="preserve">A study in Tonga, Kiribati and Solomon Islands found that </w:t>
      </w:r>
      <w:r w:rsidRPr="00BD3C0D">
        <w:rPr>
          <w:sz w:val="20"/>
          <w:szCs w:val="20"/>
        </w:rPr>
        <w:t xml:space="preserve">violence increased during pregnancy, which puts the health and well-being of both the woman and the </w:t>
      </w:r>
      <w:proofErr w:type="spellStart"/>
      <w:r w:rsidRPr="00BD3C0D">
        <w:rPr>
          <w:sz w:val="20"/>
          <w:szCs w:val="20"/>
        </w:rPr>
        <w:t>fetus</w:t>
      </w:r>
      <w:proofErr w:type="spellEnd"/>
      <w:r w:rsidRPr="00BD3C0D">
        <w:rPr>
          <w:sz w:val="20"/>
          <w:szCs w:val="20"/>
        </w:rPr>
        <w:t xml:space="preserve"> in jeopardy. The situation analyses found that women with disabilities require more support when they experience violence </w:t>
      </w:r>
      <w:proofErr w:type="gramStart"/>
      <w:r w:rsidRPr="00BD3C0D">
        <w:rPr>
          <w:sz w:val="20"/>
          <w:szCs w:val="20"/>
        </w:rPr>
        <w:t>and</w:t>
      </w:r>
      <w:r w:rsidRPr="00BD3C0D">
        <w:rPr>
          <w:sz w:val="20"/>
          <w:szCs w:val="20"/>
          <w:lang w:val="en-US"/>
        </w:rPr>
        <w:t xml:space="preserve"> also</w:t>
      </w:r>
      <w:proofErr w:type="gramEnd"/>
      <w:r w:rsidRPr="00BD3C0D">
        <w:rPr>
          <w:sz w:val="20"/>
          <w:szCs w:val="20"/>
          <w:lang w:val="en-US"/>
        </w:rPr>
        <w:t xml:space="preserve"> need support when they</w:t>
      </w:r>
      <w:r w:rsidRPr="00BD3C0D">
        <w:rPr>
          <w:sz w:val="20"/>
          <w:szCs w:val="20"/>
        </w:rPr>
        <w:t xml:space="preserve"> seek assistance.</w:t>
      </w:r>
      <w:r w:rsidR="0044384D" w:rsidRPr="00BD3C0D">
        <w:rPr>
          <w:rStyle w:val="FootnoteReference"/>
          <w:sz w:val="20"/>
          <w:szCs w:val="20"/>
        </w:rPr>
        <w:footnoteReference w:id="16"/>
      </w:r>
    </w:p>
    <w:p w14:paraId="2E39FD81" w14:textId="77777777" w:rsidR="00CA3AF5" w:rsidRPr="00607AC7" w:rsidRDefault="00CA3AF5" w:rsidP="000541DA">
      <w:pPr>
        <w:pStyle w:val="ListParagraph"/>
        <w:rPr>
          <w:lang w:val="en-US"/>
        </w:rPr>
      </w:pPr>
    </w:p>
    <w:p w14:paraId="78282629" w14:textId="77777777" w:rsidR="00A9069B" w:rsidRDefault="00A9069B"/>
    <w:sectPr w:rsidR="00A9069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813B" w14:textId="77777777" w:rsidR="00A37F5C" w:rsidRDefault="00A37F5C" w:rsidP="00306B25">
      <w:pPr>
        <w:spacing w:after="0" w:line="240" w:lineRule="auto"/>
      </w:pPr>
      <w:r>
        <w:separator/>
      </w:r>
    </w:p>
  </w:endnote>
  <w:endnote w:type="continuationSeparator" w:id="0">
    <w:p w14:paraId="68563C1F" w14:textId="77777777" w:rsidR="00A37F5C" w:rsidRDefault="00A37F5C" w:rsidP="0030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3FA4" w14:textId="77777777" w:rsidR="00A37F5C" w:rsidRDefault="00A37F5C" w:rsidP="00306B25">
      <w:pPr>
        <w:spacing w:after="0" w:line="240" w:lineRule="auto"/>
      </w:pPr>
      <w:r>
        <w:separator/>
      </w:r>
    </w:p>
  </w:footnote>
  <w:footnote w:type="continuationSeparator" w:id="0">
    <w:p w14:paraId="3DBBAD63" w14:textId="77777777" w:rsidR="00A37F5C" w:rsidRDefault="00A37F5C" w:rsidP="00306B25">
      <w:pPr>
        <w:spacing w:after="0" w:line="240" w:lineRule="auto"/>
      </w:pPr>
      <w:r>
        <w:continuationSeparator/>
      </w:r>
    </w:p>
  </w:footnote>
  <w:footnote w:id="1">
    <w:p w14:paraId="7601C5BD" w14:textId="283D899B" w:rsidR="00E12C77" w:rsidRPr="00BD3C0D" w:rsidRDefault="00E12C77">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or 16% of the global population – experience a significant disability today.</w:t>
      </w:r>
    </w:p>
  </w:footnote>
  <w:footnote w:id="2">
    <w:p w14:paraId="335C2D76" w14:textId="059B3AC0" w:rsidR="00A87864" w:rsidRPr="00BD3C0D" w:rsidRDefault="00A87864">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https://www.ohchr.org/en/statements/2021/07/panel-1-violence-against-women-and-girls-disabilities</w:t>
      </w:r>
    </w:p>
  </w:footnote>
  <w:footnote w:id="3">
    <w:p w14:paraId="0FB23974" w14:textId="481E2AD5" w:rsidR="008632E5" w:rsidRPr="00BD3C0D" w:rsidRDefault="008632E5">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https://www.unwomen.org/en/what-we-do/women-and-girls-with-disabilities</w:t>
      </w:r>
    </w:p>
  </w:footnote>
  <w:footnote w:id="4">
    <w:p w14:paraId="5E095950" w14:textId="4E2739BD" w:rsidR="008632E5" w:rsidRPr="00BD3C0D" w:rsidRDefault="008632E5">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https://www.un.org/development/desa/disabilities/wp-content/uploads/sites/15/2019/10/Making-SDGs-count-for-women-with-disabilities.pdf</w:t>
      </w:r>
    </w:p>
  </w:footnote>
  <w:footnote w:id="5">
    <w:p w14:paraId="50962EB0" w14:textId="6E2AD2C0" w:rsidR="008632E5" w:rsidRPr="00BD3C0D" w:rsidRDefault="008632E5">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https://punarbhava.in/index.php/resources/women-with-disabilities/women-with-disabilities-article-3-and-6</w:t>
      </w:r>
    </w:p>
  </w:footnote>
  <w:footnote w:id="6">
    <w:p w14:paraId="2B0553F4" w14:textId="25E07D6A" w:rsidR="008632E5" w:rsidRPr="00BD3C0D" w:rsidRDefault="008632E5">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https://blogs.worldbank.org/sustainablecities/five-facts-know-about-violence-against-women-and-girls-disabilities</w:t>
      </w:r>
    </w:p>
  </w:footnote>
  <w:footnote w:id="7">
    <w:p w14:paraId="66C1D5B5" w14:textId="5F006892" w:rsidR="008632E5" w:rsidRPr="00BD3C0D" w:rsidRDefault="00306B25">
      <w:pPr>
        <w:pStyle w:val="FootnoteText"/>
        <w:rPr>
          <w:rFonts w:ascii="Avenir Next LT Pro Light" w:hAnsi="Avenir Next LT Pro Light"/>
          <w:sz w:val="16"/>
          <w:szCs w:val="16"/>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hyperlink r:id="rId1" w:history="1">
        <w:r w:rsidR="008632E5" w:rsidRPr="00BD3C0D">
          <w:rPr>
            <w:rStyle w:val="Hyperlink"/>
            <w:rFonts w:ascii="Avenir Next LT Pro Light" w:hAnsi="Avenir Next LT Pro Light"/>
            <w:sz w:val="16"/>
            <w:szCs w:val="16"/>
          </w:rPr>
          <w:t>https://www.who.int/news-room/fact-sheets/detail/disability-and-health</w:t>
        </w:r>
      </w:hyperlink>
    </w:p>
  </w:footnote>
  <w:footnote w:id="8">
    <w:p w14:paraId="22826C0C" w14:textId="793AC765" w:rsidR="008632E5" w:rsidRPr="00BD3C0D" w:rsidRDefault="008632E5">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https://add.org.uk/sites/default/files/Gender_Based_Violence_Learning_Paper.pdf</w:t>
      </w:r>
    </w:p>
  </w:footnote>
  <w:footnote w:id="9">
    <w:p w14:paraId="1FA08871" w14:textId="2ED1788A" w:rsidR="008632E5" w:rsidRPr="00BD3C0D" w:rsidRDefault="008632E5">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https://add.org.uk/sites/default/files/Gender_Based_Violence_Learning_Paper.pdf</w:t>
      </w:r>
    </w:p>
  </w:footnote>
  <w:footnote w:id="10">
    <w:p w14:paraId="736D2C22" w14:textId="2F0DFB1E" w:rsidR="008632E5" w:rsidRPr="00BD3C0D" w:rsidRDefault="008632E5">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https://www.un.org/development/desa/disabilities/issues/women-and-girls-with-disabilities.html</w:t>
      </w:r>
    </w:p>
  </w:footnote>
  <w:footnote w:id="11">
    <w:p w14:paraId="2B183A61" w14:textId="2B0D7C2D" w:rsidR="0044384D" w:rsidRPr="00BD3C0D" w:rsidRDefault="0044384D">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rPr>
        <w:t>https://add.org.uk/sites/default/files/Gender_Based_Violence_Learning_Paper.pdf</w:t>
      </w:r>
    </w:p>
  </w:footnote>
  <w:footnote w:id="12">
    <w:p w14:paraId="2FD50D09" w14:textId="4EA63F49" w:rsidR="0044384D" w:rsidRPr="00BD3C0D" w:rsidRDefault="0044384D">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lang w:val="en-US"/>
        </w:rPr>
        <w:t>UNFPA (2022), Needs Assessment.</w:t>
      </w:r>
    </w:p>
  </w:footnote>
  <w:footnote w:id="13">
    <w:p w14:paraId="407050DA" w14:textId="46FE9E4B" w:rsidR="0044384D" w:rsidRPr="00BD3C0D" w:rsidRDefault="0044384D">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lang w:val="en-US"/>
        </w:rPr>
        <w:t>UNFPA (2022), Needs Assessment.</w:t>
      </w:r>
    </w:p>
  </w:footnote>
  <w:footnote w:id="14">
    <w:p w14:paraId="4FD81E57" w14:textId="0F5C1F43" w:rsidR="0044384D" w:rsidRPr="00BD3C0D" w:rsidRDefault="0044384D">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lang w:val="en-US"/>
        </w:rPr>
        <w:t>UNFPA (2022), Needs Assessment.</w:t>
      </w:r>
    </w:p>
  </w:footnote>
  <w:footnote w:id="15">
    <w:p w14:paraId="45D3DA47" w14:textId="50978BDC" w:rsidR="0044384D" w:rsidRPr="00BD3C0D" w:rsidRDefault="0044384D">
      <w:pPr>
        <w:pStyle w:val="FootnoteText"/>
        <w:rPr>
          <w:rFonts w:ascii="Avenir Next LT Pro Light" w:hAnsi="Avenir Next LT Pro Light"/>
          <w:sz w:val="16"/>
          <w:szCs w:val="16"/>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lang w:val="en-US"/>
        </w:rPr>
        <w:t>UNFPA (2022), Needs Assessment.</w:t>
      </w:r>
    </w:p>
  </w:footnote>
  <w:footnote w:id="16">
    <w:p w14:paraId="0887B017" w14:textId="60DD46F2" w:rsidR="0044384D" w:rsidRPr="00BD3C0D" w:rsidRDefault="0044384D">
      <w:pPr>
        <w:pStyle w:val="FootnoteText"/>
        <w:rPr>
          <w:rFonts w:ascii="Avenir Next LT Pro Light" w:hAnsi="Avenir Next LT Pro Light"/>
          <w:lang w:val="en-US"/>
        </w:rPr>
      </w:pPr>
      <w:r w:rsidRPr="00BD3C0D">
        <w:rPr>
          <w:rStyle w:val="FootnoteReference"/>
          <w:rFonts w:ascii="Avenir Next LT Pro Light" w:hAnsi="Avenir Next LT Pro Light"/>
          <w:sz w:val="16"/>
          <w:szCs w:val="16"/>
        </w:rPr>
        <w:footnoteRef/>
      </w:r>
      <w:r w:rsidRPr="00BD3C0D">
        <w:rPr>
          <w:rFonts w:ascii="Avenir Next LT Pro Light" w:hAnsi="Avenir Next LT Pro Light"/>
          <w:sz w:val="16"/>
          <w:szCs w:val="16"/>
        </w:rPr>
        <w:t xml:space="preserve"> </w:t>
      </w:r>
      <w:r w:rsidRPr="00BD3C0D">
        <w:rPr>
          <w:rFonts w:ascii="Avenir Next LT Pro Light" w:hAnsi="Avenir Next LT Pro Light"/>
          <w:sz w:val="16"/>
          <w:szCs w:val="16"/>
          <w:lang w:val="en-US"/>
        </w:rPr>
        <w:t>UNFPA (2013),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9B71" w14:textId="7BB9AEB9" w:rsidR="00E12C77" w:rsidRPr="00E12C77" w:rsidRDefault="00E12C77">
    <w:pPr>
      <w:pStyle w:val="Header"/>
      <w:rPr>
        <w:lang w:val="en-US"/>
      </w:rPr>
    </w:pPr>
    <w:r>
      <w:rPr>
        <w:lang w:val="en-US"/>
      </w:rPr>
      <w:t>PACIFIC DISABILITY FORUM</w:t>
    </w:r>
    <w:r w:rsidR="00BD3C0D">
      <w:rPr>
        <w:lang w:val="en-US"/>
      </w:rPr>
      <w:t>: FACTSHEET ON DISABILITY GENDER BASED VIOLENCE</w:t>
    </w:r>
  </w:p>
  <w:p w14:paraId="13B62035" w14:textId="77777777" w:rsidR="00E12C77" w:rsidRDefault="00E12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27D24"/>
    <w:multiLevelType w:val="hybridMultilevel"/>
    <w:tmpl w:val="6470A8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96A207D"/>
    <w:multiLevelType w:val="hybridMultilevel"/>
    <w:tmpl w:val="33F8F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D3A7005"/>
    <w:multiLevelType w:val="hybridMultilevel"/>
    <w:tmpl w:val="6E2283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92335833">
    <w:abstractNumId w:val="0"/>
  </w:num>
  <w:num w:numId="2" w16cid:durableId="1126658010">
    <w:abstractNumId w:val="1"/>
  </w:num>
  <w:num w:numId="3" w16cid:durableId="1667899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F5"/>
    <w:rsid w:val="000541DA"/>
    <w:rsid w:val="00306B25"/>
    <w:rsid w:val="0044384D"/>
    <w:rsid w:val="008632E5"/>
    <w:rsid w:val="00A37F5C"/>
    <w:rsid w:val="00A87864"/>
    <w:rsid w:val="00A9069B"/>
    <w:rsid w:val="00BD3C0D"/>
    <w:rsid w:val="00CA3AF5"/>
    <w:rsid w:val="00E12C77"/>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01501"/>
  <w15:chartTrackingRefBased/>
  <w15:docId w15:val="{9B1F3C59-6170-47A7-ACB0-982D8FA2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FJ"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AF5"/>
    <w:pPr>
      <w:ind w:left="720"/>
      <w:contextualSpacing/>
    </w:pPr>
  </w:style>
  <w:style w:type="paragraph" w:styleId="FootnoteText">
    <w:name w:val="footnote text"/>
    <w:basedOn w:val="Normal"/>
    <w:link w:val="FootnoteTextChar"/>
    <w:uiPriority w:val="99"/>
    <w:semiHidden/>
    <w:unhideWhenUsed/>
    <w:rsid w:val="00306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B25"/>
    <w:rPr>
      <w:sz w:val="20"/>
      <w:szCs w:val="20"/>
    </w:rPr>
  </w:style>
  <w:style w:type="character" w:styleId="FootnoteReference">
    <w:name w:val="footnote reference"/>
    <w:basedOn w:val="DefaultParagraphFont"/>
    <w:uiPriority w:val="99"/>
    <w:semiHidden/>
    <w:unhideWhenUsed/>
    <w:rsid w:val="00306B25"/>
    <w:rPr>
      <w:vertAlign w:val="superscript"/>
    </w:rPr>
  </w:style>
  <w:style w:type="character" w:styleId="Hyperlink">
    <w:name w:val="Hyperlink"/>
    <w:basedOn w:val="DefaultParagraphFont"/>
    <w:uiPriority w:val="99"/>
    <w:unhideWhenUsed/>
    <w:rsid w:val="008632E5"/>
    <w:rPr>
      <w:color w:val="0563C1" w:themeColor="hyperlink"/>
      <w:u w:val="single"/>
    </w:rPr>
  </w:style>
  <w:style w:type="character" w:styleId="UnresolvedMention">
    <w:name w:val="Unresolved Mention"/>
    <w:basedOn w:val="DefaultParagraphFont"/>
    <w:uiPriority w:val="99"/>
    <w:semiHidden/>
    <w:unhideWhenUsed/>
    <w:rsid w:val="008632E5"/>
    <w:rPr>
      <w:color w:val="605E5C"/>
      <w:shd w:val="clear" w:color="auto" w:fill="E1DFDD"/>
    </w:rPr>
  </w:style>
  <w:style w:type="paragraph" w:styleId="Header">
    <w:name w:val="header"/>
    <w:basedOn w:val="Normal"/>
    <w:link w:val="HeaderChar"/>
    <w:uiPriority w:val="99"/>
    <w:unhideWhenUsed/>
    <w:rsid w:val="00E12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77"/>
  </w:style>
  <w:style w:type="paragraph" w:styleId="Footer">
    <w:name w:val="footer"/>
    <w:basedOn w:val="Normal"/>
    <w:link w:val="FooterChar"/>
    <w:uiPriority w:val="99"/>
    <w:unhideWhenUsed/>
    <w:rsid w:val="00E12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disability-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2704-F974-4159-BD0C-AFB4F83E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Sainimili Tawake</dc:creator>
  <cp:keywords/>
  <dc:description/>
  <cp:lastModifiedBy>Sainimili Tawake</cp:lastModifiedBy>
  <cp:revision>1</cp:revision>
  <dcterms:created xsi:type="dcterms:W3CDTF">2022-12-08T05:24:00Z</dcterms:created>
  <dcterms:modified xsi:type="dcterms:W3CDTF">2022-12-08T07:17:00Z</dcterms:modified>
</cp:coreProperties>
</file>