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9" w:lineRule="auto"/>
      </w:pPr>
      <w:r>
        <w:rPr>
          <w:spacing w:val="-2"/>
        </w:rPr>
        <w:t>Preconditions </w:t>
      </w:r>
      <w:r>
        <w:rPr/>
        <w:t>needed to meet new</w:t>
      </w:r>
      <w:r>
        <w:rPr>
          <w:spacing w:val="-20"/>
        </w:rPr>
        <w:t> </w:t>
      </w:r>
      <w:r>
        <w:rPr/>
        <w:t>global</w:t>
      </w:r>
      <w:r>
        <w:rPr>
          <w:spacing w:val="-20"/>
        </w:rPr>
        <w:t> </w:t>
      </w:r>
      <w:r>
        <w:rPr/>
        <w:t>target on disability </w:t>
      </w:r>
      <w:r>
        <w:rPr>
          <w:spacing w:val="-2"/>
        </w:rPr>
        <w:t>inclusion</w:t>
      </w:r>
    </w:p>
    <w:p>
      <w:pPr>
        <w:spacing w:line="376" w:lineRule="auto" w:before="143"/>
        <w:ind w:left="20" w:right="245" w:firstLine="0"/>
        <w:jc w:val="left"/>
        <w:rPr>
          <w:sz w:val="24"/>
        </w:rPr>
      </w:pPr>
      <w:r>
        <w:rPr>
          <w:sz w:val="24"/>
        </w:rPr>
        <w:t>by</w:t>
      </w:r>
      <w:r>
        <w:rPr>
          <w:spacing w:val="-8"/>
          <w:sz w:val="24"/>
        </w:rPr>
        <w:t> </w:t>
      </w:r>
      <w:r>
        <w:rPr>
          <w:sz w:val="24"/>
        </w:rPr>
        <w:t>Sainimili</w:t>
      </w:r>
      <w:r>
        <w:rPr>
          <w:spacing w:val="-8"/>
          <w:sz w:val="24"/>
        </w:rPr>
        <w:t> </w:t>
      </w:r>
      <w:r>
        <w:rPr>
          <w:sz w:val="24"/>
        </w:rPr>
        <w:t>Tawake</w:t>
      </w:r>
      <w:r>
        <w:rPr>
          <w:spacing w:val="-8"/>
          <w:sz w:val="24"/>
        </w:rPr>
        <w:t> </w:t>
      </w:r>
      <w:r>
        <w:rPr>
          <w:sz w:val="24"/>
        </w:rPr>
        <w:t>and</w:t>
      </w:r>
      <w:r>
        <w:rPr>
          <w:spacing w:val="-8"/>
          <w:sz w:val="24"/>
        </w:rPr>
        <w:t> </w:t>
      </w:r>
      <w:r>
        <w:rPr>
          <w:sz w:val="24"/>
        </w:rPr>
        <w:t>Kobi</w:t>
      </w:r>
      <w:r>
        <w:rPr>
          <w:spacing w:val="-8"/>
          <w:sz w:val="24"/>
        </w:rPr>
        <w:t> </w:t>
      </w:r>
      <w:r>
        <w:rPr>
          <w:sz w:val="24"/>
        </w:rPr>
        <w:t>Maglen 29 April 2025</w:t>
      </w:r>
    </w:p>
    <w:p>
      <w:pPr>
        <w:spacing w:line="240" w:lineRule="auto" w:before="1" w:after="25"/>
        <w:rPr>
          <w:sz w:val="4"/>
        </w:rPr>
      </w:pPr>
      <w:r>
        <w:rPr/>
        <w:br w:type="column"/>
      </w:r>
      <w:r>
        <w:rPr>
          <w:sz w:val="4"/>
        </w:rPr>
      </w:r>
    </w:p>
    <w:p>
      <w:pPr>
        <w:pStyle w:val="BodyText"/>
        <w:ind w:left="152"/>
        <w:rPr>
          <w:sz w:val="20"/>
        </w:rPr>
      </w:pPr>
      <w:r>
        <w:rPr>
          <w:sz w:val="20"/>
        </w:rPr>
        <w:drawing>
          <wp:inline distT="0" distB="0" distL="0" distR="0">
            <wp:extent cx="2857500" cy="1790700"/>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2857500" cy="1790700"/>
                    </a:xfrm>
                    <a:prstGeom prst="rect">
                      <a:avLst/>
                    </a:prstGeom>
                  </pic:spPr>
                </pic:pic>
              </a:graphicData>
            </a:graphic>
          </wp:inline>
        </w:drawing>
      </w:r>
      <w:r>
        <w:rPr>
          <w:sz w:val="20"/>
        </w:rPr>
      </w:r>
    </w:p>
    <w:p>
      <w:pPr>
        <w:spacing w:line="256" w:lineRule="auto" w:before="152"/>
        <w:ind w:left="0" w:right="146" w:firstLine="0"/>
        <w:jc w:val="center"/>
        <w:rPr>
          <w:sz w:val="22"/>
        </w:rPr>
      </w:pPr>
      <w:r>
        <w:rPr>
          <w:sz w:val="22"/>
        </w:rPr>
        <w:t>Delegates celebrate the new commitment at </w:t>
      </w:r>
      <w:r>
        <w:rPr>
          <w:sz w:val="22"/>
        </w:rPr>
        <w:t>the 2025 Global Disability Summit</w:t>
      </w:r>
    </w:p>
    <w:p>
      <w:pPr>
        <w:spacing w:line="252" w:lineRule="exact" w:before="0"/>
        <w:ind w:left="0" w:right="146" w:firstLine="0"/>
        <w:jc w:val="center"/>
        <w:rPr>
          <w:rFonts w:ascii="Arial"/>
          <w:i/>
          <w:sz w:val="22"/>
        </w:rPr>
      </w:pPr>
      <w:r>
        <w:rPr>
          <w:rFonts w:ascii="Arial"/>
          <w:i/>
          <w:color w:val="545454"/>
          <w:sz w:val="22"/>
        </w:rPr>
        <w:t>Photo</w:t>
      </w:r>
      <w:r>
        <w:rPr>
          <w:rFonts w:ascii="Arial"/>
          <w:i/>
          <w:color w:val="545454"/>
          <w:spacing w:val="36"/>
          <w:sz w:val="22"/>
        </w:rPr>
        <w:t> </w:t>
      </w:r>
      <w:r>
        <w:rPr>
          <w:rFonts w:ascii="Arial"/>
          <w:i/>
          <w:color w:val="545454"/>
          <w:sz w:val="22"/>
        </w:rPr>
        <w:t>Credit:</w:t>
      </w:r>
      <w:r>
        <w:rPr>
          <w:rFonts w:ascii="Arial"/>
          <w:i/>
          <w:color w:val="545454"/>
          <w:spacing w:val="37"/>
          <w:sz w:val="22"/>
        </w:rPr>
        <w:t> </w:t>
      </w:r>
      <w:hyperlink r:id="rId8">
        <w:r>
          <w:rPr>
            <w:rFonts w:ascii="Arial"/>
            <w:i/>
            <w:color w:val="D77900"/>
            <w:sz w:val="22"/>
          </w:rPr>
          <w:t>Linked/Global-Disability-</w:t>
        </w:r>
        <w:r>
          <w:rPr>
            <w:rFonts w:ascii="Arial"/>
            <w:i/>
            <w:color w:val="D77900"/>
            <w:spacing w:val="-2"/>
            <w:sz w:val="22"/>
          </w:rPr>
          <w:t>Summit</w:t>
        </w:r>
      </w:hyperlink>
    </w:p>
    <w:p>
      <w:pPr>
        <w:spacing w:after="0" w:line="252" w:lineRule="exact"/>
        <w:jc w:val="center"/>
        <w:rPr>
          <w:rFonts w:ascii="Arial"/>
          <w:i/>
          <w:sz w:val="22"/>
        </w:rPr>
        <w:sectPr>
          <w:headerReference w:type="default" r:id="rId5"/>
          <w:footerReference w:type="default" r:id="rId6"/>
          <w:type w:val="continuous"/>
          <w:pgSz w:w="11910" w:h="16840"/>
          <w:pgMar w:header="710" w:footer="690" w:top="1360" w:bottom="880" w:left="850" w:right="850"/>
          <w:pgNumType w:start="1"/>
          <w:cols w:num="2" w:equalWidth="0">
            <w:col w:w="4461" w:space="790"/>
            <w:col w:w="4959"/>
          </w:cols>
        </w:sectPr>
      </w:pPr>
    </w:p>
    <w:p>
      <w:pPr>
        <w:pStyle w:val="BodyText"/>
        <w:spacing w:line="292" w:lineRule="auto" w:before="160"/>
        <w:ind w:right="275"/>
      </w:pPr>
      <w:r>
        <w:rPr/>
        <w:t>The</w:t>
      </w:r>
      <w:r>
        <w:rPr>
          <w:spacing w:val="-3"/>
        </w:rPr>
        <w:t> </w:t>
      </w:r>
      <w:r>
        <w:rPr/>
        <w:t>largest</w:t>
      </w:r>
      <w:r>
        <w:rPr>
          <w:spacing w:val="-3"/>
        </w:rPr>
        <w:t> </w:t>
      </w:r>
      <w:r>
        <w:rPr/>
        <w:t>global</w:t>
      </w:r>
      <w:r>
        <w:rPr>
          <w:spacing w:val="-3"/>
        </w:rPr>
        <w:t> </w:t>
      </w:r>
      <w:r>
        <w:rPr/>
        <w:t>gathering</w:t>
      </w:r>
      <w:r>
        <w:rPr>
          <w:spacing w:val="-3"/>
        </w:rPr>
        <w:t> </w:t>
      </w:r>
      <w:r>
        <w:rPr/>
        <w:t>on</w:t>
      </w:r>
      <w:r>
        <w:rPr>
          <w:spacing w:val="-3"/>
        </w:rPr>
        <w:t> </w:t>
      </w:r>
      <w:r>
        <w:rPr/>
        <w:t>disability</w:t>
      </w:r>
      <w:r>
        <w:rPr>
          <w:spacing w:val="-3"/>
        </w:rPr>
        <w:t> </w:t>
      </w:r>
      <w:r>
        <w:rPr/>
        <w:t>rights</w:t>
      </w:r>
      <w:r>
        <w:rPr>
          <w:spacing w:val="-3"/>
        </w:rPr>
        <w:t> </w:t>
      </w:r>
      <w:r>
        <w:rPr/>
        <w:t>occurred</w:t>
      </w:r>
      <w:r>
        <w:rPr>
          <w:spacing w:val="-3"/>
        </w:rPr>
        <w:t> </w:t>
      </w:r>
      <w:r>
        <w:rPr/>
        <w:t>earlier</w:t>
      </w:r>
      <w:r>
        <w:rPr>
          <w:spacing w:val="-3"/>
        </w:rPr>
        <w:t> </w:t>
      </w:r>
      <w:r>
        <w:rPr/>
        <w:t>this</w:t>
      </w:r>
      <w:r>
        <w:rPr>
          <w:spacing w:val="-3"/>
        </w:rPr>
        <w:t> </w:t>
      </w:r>
      <w:r>
        <w:rPr/>
        <w:t>month.</w:t>
      </w:r>
      <w:r>
        <w:rPr>
          <w:spacing w:val="-3"/>
        </w:rPr>
        <w:t> </w:t>
      </w:r>
      <w:r>
        <w:rPr/>
        <w:t>In</w:t>
      </w:r>
      <w:r>
        <w:rPr>
          <w:spacing w:val="-3"/>
        </w:rPr>
        <w:t> </w:t>
      </w:r>
      <w:r>
        <w:rPr/>
        <w:t>Berlin, thousands attended the third </w:t>
      </w:r>
      <w:hyperlink r:id="rId9">
        <w:r>
          <w:rPr>
            <w:color w:val="D77900"/>
          </w:rPr>
          <w:t>Global Disability Summit</w:t>
        </w:r>
      </w:hyperlink>
      <w:r>
        <w:rPr>
          <w:color w:val="D77900"/>
        </w:rPr>
        <w:t> </w:t>
      </w:r>
      <w:r>
        <w:rPr/>
        <w:t>bringing together</w:t>
      </w:r>
      <w:r>
        <w:rPr>
          <w:spacing w:val="40"/>
        </w:rPr>
        <w:t> </w:t>
      </w:r>
      <w:r>
        <w:rPr/>
        <w:t>government, civil society and United Nations representatives championing disability </w:t>
      </w:r>
      <w:r>
        <w:rPr>
          <w:spacing w:val="-2"/>
        </w:rPr>
        <w:t>rights.</w:t>
      </w:r>
    </w:p>
    <w:p>
      <w:pPr>
        <w:pStyle w:val="BodyText"/>
        <w:spacing w:line="292" w:lineRule="auto" w:before="257"/>
        <w:ind w:right="257"/>
      </w:pPr>
      <w:r>
        <w:rPr/>
        <w:t>The</w:t>
      </w:r>
      <w:r>
        <w:rPr>
          <w:spacing w:val="-3"/>
        </w:rPr>
        <w:t> </w:t>
      </w:r>
      <w:hyperlink r:id="rId10">
        <w:r>
          <w:rPr>
            <w:color w:val="D77900"/>
          </w:rPr>
          <w:t>Amman-Berlin</w:t>
        </w:r>
        <w:r>
          <w:rPr>
            <w:color w:val="D77900"/>
            <w:spacing w:val="-3"/>
          </w:rPr>
          <w:t> </w:t>
        </w:r>
        <w:r>
          <w:rPr>
            <w:color w:val="D77900"/>
          </w:rPr>
          <w:t>resolution</w:t>
        </w:r>
      </w:hyperlink>
      <w:r>
        <w:rPr>
          <w:color w:val="D77900"/>
          <w:spacing w:val="-4"/>
        </w:rPr>
        <w:t> </w:t>
      </w:r>
      <w:r>
        <w:rPr/>
        <w:t>—</w:t>
      </w:r>
      <w:r>
        <w:rPr>
          <w:spacing w:val="-3"/>
        </w:rPr>
        <w:t> </w:t>
      </w:r>
      <w:r>
        <w:rPr/>
        <w:t>the</w:t>
      </w:r>
      <w:r>
        <w:rPr>
          <w:spacing w:val="-3"/>
        </w:rPr>
        <w:t> </w:t>
      </w:r>
      <w:r>
        <w:rPr/>
        <w:t>official</w:t>
      </w:r>
      <w:r>
        <w:rPr>
          <w:spacing w:val="-3"/>
        </w:rPr>
        <w:t> </w:t>
      </w:r>
      <w:r>
        <w:rPr/>
        <w:t>statement</w:t>
      </w:r>
      <w:r>
        <w:rPr>
          <w:spacing w:val="-3"/>
        </w:rPr>
        <w:t> </w:t>
      </w:r>
      <w:r>
        <w:rPr/>
        <w:t>endorsed</w:t>
      </w:r>
      <w:r>
        <w:rPr>
          <w:spacing w:val="-3"/>
        </w:rPr>
        <w:t> </w:t>
      </w:r>
      <w:r>
        <w:rPr/>
        <w:t>by</w:t>
      </w:r>
      <w:r>
        <w:rPr>
          <w:spacing w:val="-3"/>
        </w:rPr>
        <w:t> </w:t>
      </w:r>
      <w:r>
        <w:rPr/>
        <w:t>more</w:t>
      </w:r>
      <w:r>
        <w:rPr>
          <w:spacing w:val="-3"/>
        </w:rPr>
        <w:t> </w:t>
      </w:r>
      <w:r>
        <w:rPr/>
        <w:t>than</w:t>
      </w:r>
      <w:r>
        <w:rPr>
          <w:spacing w:val="-3"/>
        </w:rPr>
        <w:t> </w:t>
      </w:r>
      <w:r>
        <w:rPr/>
        <w:t>80 countries and organisations at the Summit, including Australia — establishes an ambitious global target: by 2028, 15% of international development programs implemented at the country level should have a focus on disability inclusion.</w:t>
      </w:r>
    </w:p>
    <w:p>
      <w:pPr>
        <w:pStyle w:val="BodyText"/>
        <w:spacing w:line="292" w:lineRule="auto" w:before="257"/>
        <w:ind w:right="257"/>
      </w:pPr>
      <w:r>
        <w:rPr/>
        <w:t>This “15% for the 15%” target is a groundbreaking recognition of the scale of targeted disability-focused investment that is required to meaningfully address the pervasive</w:t>
      </w:r>
      <w:r>
        <w:rPr>
          <w:spacing w:val="-3"/>
        </w:rPr>
        <w:t> </w:t>
      </w:r>
      <w:r>
        <w:rPr/>
        <w:t>barriers</w:t>
      </w:r>
      <w:r>
        <w:rPr>
          <w:spacing w:val="-3"/>
        </w:rPr>
        <w:t> </w:t>
      </w:r>
      <w:r>
        <w:rPr/>
        <w:t>that</w:t>
      </w:r>
      <w:r>
        <w:rPr>
          <w:spacing w:val="-3"/>
        </w:rPr>
        <w:t> </w:t>
      </w:r>
      <w:r>
        <w:rPr/>
        <w:t>exclude</w:t>
      </w:r>
      <w:r>
        <w:rPr>
          <w:spacing w:val="-3"/>
        </w:rPr>
        <w:t> </w:t>
      </w:r>
      <w:r>
        <w:rPr/>
        <w:t>people</w:t>
      </w:r>
      <w:r>
        <w:rPr>
          <w:spacing w:val="-3"/>
        </w:rPr>
        <w:t> </w:t>
      </w:r>
      <w:r>
        <w:rPr/>
        <w:t>with</w:t>
      </w:r>
      <w:r>
        <w:rPr>
          <w:spacing w:val="-3"/>
        </w:rPr>
        <w:t> </w:t>
      </w:r>
      <w:r>
        <w:rPr/>
        <w:t>disabilities,</w:t>
      </w:r>
      <w:r>
        <w:rPr>
          <w:spacing w:val="-3"/>
        </w:rPr>
        <w:t> </w:t>
      </w:r>
      <w:r>
        <w:rPr/>
        <w:t>who</w:t>
      </w:r>
      <w:r>
        <w:rPr>
          <w:spacing w:val="-3"/>
        </w:rPr>
        <w:t> </w:t>
      </w:r>
      <w:r>
        <w:rPr/>
        <w:t>make</w:t>
      </w:r>
      <w:r>
        <w:rPr>
          <w:spacing w:val="-3"/>
        </w:rPr>
        <w:t> </w:t>
      </w:r>
      <w:r>
        <w:rPr/>
        <w:t>up</w:t>
      </w:r>
      <w:r>
        <w:rPr>
          <w:spacing w:val="-5"/>
        </w:rPr>
        <w:t> </w:t>
      </w:r>
      <w:hyperlink r:id="rId11">
        <w:r>
          <w:rPr>
            <w:color w:val="D77900"/>
          </w:rPr>
          <w:t>at</w:t>
        </w:r>
        <w:r>
          <w:rPr>
            <w:color w:val="D77900"/>
            <w:spacing w:val="-3"/>
          </w:rPr>
          <w:t> </w:t>
        </w:r>
        <w:r>
          <w:rPr>
            <w:color w:val="D77900"/>
          </w:rPr>
          <w:t>least</w:t>
        </w:r>
        <w:r>
          <w:rPr>
            <w:color w:val="D77900"/>
            <w:spacing w:val="-3"/>
          </w:rPr>
          <w:t> </w:t>
        </w:r>
        <w:r>
          <w:rPr>
            <w:color w:val="D77900"/>
          </w:rPr>
          <w:t>15%</w:t>
        </w:r>
      </w:hyperlink>
      <w:r>
        <w:rPr>
          <w:color w:val="D77900"/>
          <w:spacing w:val="-4"/>
        </w:rPr>
        <w:t> </w:t>
      </w:r>
      <w:r>
        <w:rPr/>
        <w:t>of the global population. While work needs to be done on the reporting structure under this target, Australia is again showing global leadership in disability equity with reporting that well over 15% of their </w:t>
      </w:r>
      <w:hyperlink r:id="rId12">
        <w:r>
          <w:rPr>
            <w:color w:val="D77900"/>
          </w:rPr>
          <w:t>aid programming in FY2023-24</w:t>
        </w:r>
      </w:hyperlink>
      <w:r>
        <w:rPr>
          <w:color w:val="D77900"/>
        </w:rPr>
        <w:t> </w:t>
      </w:r>
      <w:r>
        <w:rPr/>
        <w:t>incorporated disability inclusion. However, the message of this target is clear for any investment tagged disability-inclusive: while uptake of efforts to mainstream people with disabilities into general development efforts is important and must be continued with momentum, mainstreaming in itself is not enough. People with disabilities also have specific needs and face specific barriers that require targeted initiatives.</w:t>
      </w:r>
    </w:p>
    <w:p>
      <w:pPr>
        <w:pStyle w:val="BodyText"/>
        <w:spacing w:before="251"/>
      </w:pPr>
      <w:r>
        <w:rPr/>
        <w:t>So how could this “15%” allocation drive the change </w:t>
      </w:r>
      <w:r>
        <w:rPr>
          <w:spacing w:val="-2"/>
        </w:rPr>
        <w:t>needed?</w:t>
      </w:r>
    </w:p>
    <w:p>
      <w:pPr>
        <w:pStyle w:val="BodyText"/>
        <w:spacing w:before="26"/>
        <w:ind w:left="0"/>
      </w:pPr>
    </w:p>
    <w:p>
      <w:pPr>
        <w:pStyle w:val="BodyText"/>
        <w:spacing w:line="292" w:lineRule="auto" w:before="1"/>
        <w:ind w:right="272"/>
      </w:pPr>
      <w:r>
        <w:rPr/>
        <w:t>Recent years have seen increasing uptake of the “Preconditions for Inclusion” — a framework </w:t>
      </w:r>
      <w:hyperlink r:id="rId13">
        <w:r>
          <w:rPr>
            <w:color w:val="D77900"/>
          </w:rPr>
          <w:t>advocated for by the Pacific Disability Forum</w:t>
        </w:r>
      </w:hyperlink>
      <w:r>
        <w:rPr>
          <w:color w:val="D77900"/>
        </w:rPr>
        <w:t> </w:t>
      </w:r>
      <w:r>
        <w:rPr/>
        <w:t>since 2018. The 2050 Strategy for the Blue Pacific Continent includes the preconditions as central to advancing</w:t>
      </w:r>
      <w:r>
        <w:rPr>
          <w:spacing w:val="-5"/>
        </w:rPr>
        <w:t> </w:t>
      </w:r>
      <w:r>
        <w:rPr/>
        <w:t>disability</w:t>
      </w:r>
      <w:r>
        <w:rPr>
          <w:spacing w:val="-5"/>
        </w:rPr>
        <w:t> </w:t>
      </w:r>
      <w:r>
        <w:rPr/>
        <w:t>rights.</w:t>
      </w:r>
      <w:r>
        <w:rPr>
          <w:spacing w:val="-5"/>
        </w:rPr>
        <w:t> </w:t>
      </w:r>
      <w:r>
        <w:rPr/>
        <w:t>The</w:t>
      </w:r>
      <w:r>
        <w:rPr>
          <w:spacing w:val="-5"/>
        </w:rPr>
        <w:t> </w:t>
      </w:r>
      <w:r>
        <w:rPr/>
        <w:t>Australian</w:t>
      </w:r>
      <w:r>
        <w:rPr>
          <w:spacing w:val="-5"/>
        </w:rPr>
        <w:t> </w:t>
      </w:r>
      <w:r>
        <w:rPr/>
        <w:t>Government</w:t>
      </w:r>
      <w:r>
        <w:rPr>
          <w:spacing w:val="-5"/>
        </w:rPr>
        <w:t> </w:t>
      </w:r>
      <w:r>
        <w:rPr/>
        <w:t>formalised</w:t>
      </w:r>
      <w:r>
        <w:rPr>
          <w:spacing w:val="-5"/>
        </w:rPr>
        <w:t> </w:t>
      </w:r>
      <w:r>
        <w:rPr/>
        <w:t>their</w:t>
      </w:r>
      <w:r>
        <w:rPr>
          <w:spacing w:val="-5"/>
        </w:rPr>
        <w:t> </w:t>
      </w:r>
      <w:r>
        <w:rPr/>
        <w:t>commitment</w:t>
      </w:r>
    </w:p>
    <w:p>
      <w:pPr>
        <w:pStyle w:val="BodyText"/>
        <w:spacing w:after="0" w:line="292" w:lineRule="auto"/>
        <w:sectPr>
          <w:type w:val="continuous"/>
          <w:pgSz w:w="11910" w:h="16840"/>
          <w:pgMar w:header="710" w:footer="690" w:top="1360" w:bottom="880" w:left="850" w:right="850"/>
        </w:sectPr>
      </w:pPr>
    </w:p>
    <w:p>
      <w:pPr>
        <w:pStyle w:val="BodyText"/>
        <w:spacing w:line="292" w:lineRule="auto" w:before="81"/>
        <w:ind w:right="257"/>
      </w:pPr>
      <w:r>
        <w:rPr/>
        <w:t>in</w:t>
      </w:r>
      <w:r>
        <w:rPr>
          <w:spacing w:val="-3"/>
        </w:rPr>
        <w:t> </w:t>
      </w:r>
      <w:r>
        <w:rPr/>
        <w:t>the</w:t>
      </w:r>
      <w:r>
        <w:rPr>
          <w:spacing w:val="-4"/>
        </w:rPr>
        <w:t> </w:t>
      </w:r>
      <w:hyperlink r:id="rId14">
        <w:r>
          <w:rPr>
            <w:color w:val="D77900"/>
          </w:rPr>
          <w:t>International</w:t>
        </w:r>
        <w:r>
          <w:rPr>
            <w:color w:val="D77900"/>
            <w:spacing w:val="-3"/>
          </w:rPr>
          <w:t> </w:t>
        </w:r>
        <w:r>
          <w:rPr>
            <w:color w:val="D77900"/>
          </w:rPr>
          <w:t>Disability</w:t>
        </w:r>
        <w:r>
          <w:rPr>
            <w:color w:val="D77900"/>
            <w:spacing w:val="-3"/>
          </w:rPr>
          <w:t> </w:t>
        </w:r>
        <w:r>
          <w:rPr>
            <w:color w:val="D77900"/>
          </w:rPr>
          <w:t>Equity</w:t>
        </w:r>
        <w:r>
          <w:rPr>
            <w:color w:val="D77900"/>
            <w:spacing w:val="-3"/>
          </w:rPr>
          <w:t> </w:t>
        </w:r>
        <w:r>
          <w:rPr>
            <w:color w:val="D77900"/>
          </w:rPr>
          <w:t>and</w:t>
        </w:r>
        <w:r>
          <w:rPr>
            <w:color w:val="D77900"/>
            <w:spacing w:val="-3"/>
          </w:rPr>
          <w:t> </w:t>
        </w:r>
        <w:r>
          <w:rPr>
            <w:color w:val="D77900"/>
          </w:rPr>
          <w:t>Rights</w:t>
        </w:r>
        <w:r>
          <w:rPr>
            <w:color w:val="D77900"/>
            <w:spacing w:val="-3"/>
          </w:rPr>
          <w:t> </w:t>
        </w:r>
        <w:r>
          <w:rPr>
            <w:color w:val="D77900"/>
          </w:rPr>
          <w:t>Strategy</w:t>
        </w:r>
      </w:hyperlink>
      <w:r>
        <w:rPr>
          <w:color w:val="D77900"/>
          <w:spacing w:val="-4"/>
        </w:rPr>
        <w:t> </w:t>
      </w:r>
      <w:r>
        <w:rPr/>
        <w:t>released</w:t>
      </w:r>
      <w:r>
        <w:rPr>
          <w:spacing w:val="-3"/>
        </w:rPr>
        <w:t> </w:t>
      </w:r>
      <w:r>
        <w:rPr/>
        <w:t>at</w:t>
      </w:r>
      <w:r>
        <w:rPr>
          <w:spacing w:val="-3"/>
        </w:rPr>
        <w:t> </w:t>
      </w:r>
      <w:r>
        <w:rPr/>
        <w:t>the</w:t>
      </w:r>
      <w:r>
        <w:rPr>
          <w:spacing w:val="-3"/>
        </w:rPr>
        <w:t> </w:t>
      </w:r>
      <w:r>
        <w:rPr/>
        <w:t>end</w:t>
      </w:r>
      <w:r>
        <w:rPr>
          <w:spacing w:val="-3"/>
        </w:rPr>
        <w:t> </w:t>
      </w:r>
      <w:r>
        <w:rPr/>
        <w:t>of</w:t>
      </w:r>
      <w:r>
        <w:rPr>
          <w:spacing w:val="-3"/>
        </w:rPr>
        <w:t> </w:t>
      </w:r>
      <w:r>
        <w:rPr/>
        <w:t>last year, a policy position that has been welcomed by the sector.</w:t>
      </w:r>
    </w:p>
    <w:p>
      <w:pPr>
        <w:pStyle w:val="BodyText"/>
        <w:spacing w:line="292" w:lineRule="auto" w:before="259"/>
        <w:ind w:right="337"/>
      </w:pPr>
      <w:r>
        <w:rPr/>
        <w:t>The preconditions for inclusion provide a framework to inform the design and direction</w:t>
      </w:r>
      <w:r>
        <w:rPr>
          <w:spacing w:val="-3"/>
        </w:rPr>
        <w:t> </w:t>
      </w:r>
      <w:r>
        <w:rPr/>
        <w:t>of</w:t>
      </w:r>
      <w:r>
        <w:rPr>
          <w:spacing w:val="-3"/>
        </w:rPr>
        <w:t> </w:t>
      </w:r>
      <w:r>
        <w:rPr/>
        <w:t>disability-targeted</w:t>
      </w:r>
      <w:r>
        <w:rPr>
          <w:spacing w:val="-3"/>
        </w:rPr>
        <w:t> </w:t>
      </w:r>
      <w:r>
        <w:rPr/>
        <w:t>policies</w:t>
      </w:r>
      <w:r>
        <w:rPr>
          <w:spacing w:val="-3"/>
        </w:rPr>
        <w:t> </w:t>
      </w:r>
      <w:r>
        <w:rPr/>
        <w:t>and</w:t>
      </w:r>
      <w:r>
        <w:rPr>
          <w:spacing w:val="-3"/>
        </w:rPr>
        <w:t> </w:t>
      </w:r>
      <w:r>
        <w:rPr/>
        <w:t>programs</w:t>
      </w:r>
      <w:r>
        <w:rPr>
          <w:spacing w:val="-3"/>
        </w:rPr>
        <w:t> </w:t>
      </w:r>
      <w:r>
        <w:rPr/>
        <w:t>—</w:t>
      </w:r>
      <w:r>
        <w:rPr>
          <w:spacing w:val="-3"/>
        </w:rPr>
        <w:t> </w:t>
      </w:r>
      <w:r>
        <w:rPr/>
        <w:t>such</w:t>
      </w:r>
      <w:r>
        <w:rPr>
          <w:spacing w:val="-3"/>
        </w:rPr>
        <w:t> </w:t>
      </w:r>
      <w:r>
        <w:rPr/>
        <w:t>as</w:t>
      </w:r>
      <w:r>
        <w:rPr>
          <w:spacing w:val="-3"/>
        </w:rPr>
        <w:t> </w:t>
      </w:r>
      <w:r>
        <w:rPr/>
        <w:t>those</w:t>
      </w:r>
      <w:r>
        <w:rPr>
          <w:spacing w:val="-3"/>
        </w:rPr>
        <w:t> </w:t>
      </w:r>
      <w:r>
        <w:rPr/>
        <w:t>that</w:t>
      </w:r>
      <w:r>
        <w:rPr>
          <w:spacing w:val="-3"/>
        </w:rPr>
        <w:t> </w:t>
      </w:r>
      <w:r>
        <w:rPr/>
        <w:t>will</w:t>
      </w:r>
      <w:r>
        <w:rPr>
          <w:spacing w:val="-3"/>
        </w:rPr>
        <w:t> </w:t>
      </w:r>
      <w:r>
        <w:rPr/>
        <w:t>be the focus of the “15%” allocation.</w:t>
      </w:r>
    </w:p>
    <w:p>
      <w:pPr>
        <w:pStyle w:val="BodyText"/>
        <w:spacing w:line="292" w:lineRule="auto" w:before="257"/>
        <w:ind w:right="337"/>
      </w:pPr>
      <w:r>
        <w:rPr/>
        <w:t>The preconditions are </w:t>
      </w:r>
      <w:hyperlink r:id="rId15">
        <w:r>
          <w:rPr>
            <w:color w:val="D77900"/>
          </w:rPr>
          <w:t>the key elements</w:t>
        </w:r>
      </w:hyperlink>
      <w:r>
        <w:rPr>
          <w:color w:val="D77900"/>
        </w:rPr>
        <w:t> </w:t>
      </w:r>
      <w:r>
        <w:rPr/>
        <w:t>that need to be in place in society to build an enabling environment for inclusion and equity for people with disabilities. Even where</w:t>
      </w:r>
      <w:r>
        <w:rPr>
          <w:spacing w:val="-5"/>
        </w:rPr>
        <w:t> </w:t>
      </w:r>
      <w:r>
        <w:rPr/>
        <w:t>disability</w:t>
      </w:r>
      <w:r>
        <w:rPr>
          <w:spacing w:val="-5"/>
        </w:rPr>
        <w:t> </w:t>
      </w:r>
      <w:r>
        <w:rPr/>
        <w:t>inclusion</w:t>
      </w:r>
      <w:r>
        <w:rPr>
          <w:spacing w:val="-5"/>
        </w:rPr>
        <w:t> </w:t>
      </w:r>
      <w:r>
        <w:rPr/>
        <w:t>is</w:t>
      </w:r>
      <w:r>
        <w:rPr>
          <w:spacing w:val="-5"/>
        </w:rPr>
        <w:t> </w:t>
      </w:r>
      <w:r>
        <w:rPr/>
        <w:t>“mainstreamed”</w:t>
      </w:r>
      <w:r>
        <w:rPr>
          <w:spacing w:val="-5"/>
        </w:rPr>
        <w:t> </w:t>
      </w:r>
      <w:r>
        <w:rPr/>
        <w:t>in</w:t>
      </w:r>
      <w:r>
        <w:rPr>
          <w:spacing w:val="-5"/>
        </w:rPr>
        <w:t> </w:t>
      </w:r>
      <w:r>
        <w:rPr/>
        <w:t>international</w:t>
      </w:r>
      <w:r>
        <w:rPr>
          <w:spacing w:val="-5"/>
        </w:rPr>
        <w:t> </w:t>
      </w:r>
      <w:r>
        <w:rPr/>
        <w:t>development</w:t>
      </w:r>
      <w:r>
        <w:rPr>
          <w:spacing w:val="-5"/>
        </w:rPr>
        <w:t> </w:t>
      </w:r>
      <w:r>
        <w:rPr/>
        <w:t>programs, investments</w:t>
      </w:r>
      <w:r>
        <w:rPr>
          <w:spacing w:val="-3"/>
        </w:rPr>
        <w:t> </w:t>
      </w:r>
      <w:r>
        <w:rPr/>
        <w:t>and</w:t>
      </w:r>
      <w:r>
        <w:rPr>
          <w:spacing w:val="-3"/>
        </w:rPr>
        <w:t> </w:t>
      </w:r>
      <w:r>
        <w:rPr/>
        <w:t>services,</w:t>
      </w:r>
      <w:r>
        <w:rPr>
          <w:spacing w:val="-3"/>
        </w:rPr>
        <w:t> </w:t>
      </w:r>
      <w:r>
        <w:rPr/>
        <w:t>incorporating</w:t>
      </w:r>
      <w:r>
        <w:rPr>
          <w:spacing w:val="-3"/>
        </w:rPr>
        <w:t> </w:t>
      </w:r>
      <w:r>
        <w:rPr/>
        <w:t>robust</w:t>
      </w:r>
      <w:r>
        <w:rPr>
          <w:spacing w:val="-3"/>
        </w:rPr>
        <w:t> </w:t>
      </w:r>
      <w:r>
        <w:rPr/>
        <w:t>disability-inclusion</w:t>
      </w:r>
      <w:r>
        <w:rPr>
          <w:spacing w:val="-3"/>
        </w:rPr>
        <w:t> </w:t>
      </w:r>
      <w:r>
        <w:rPr/>
        <w:t>practices,</w:t>
      </w:r>
      <w:r>
        <w:rPr>
          <w:spacing w:val="-3"/>
        </w:rPr>
        <w:t> </w:t>
      </w:r>
      <w:r>
        <w:rPr/>
        <w:t>people with disabilities may not be able to benefit because of structural gaps which constitute barriers to access within the broader context or environment outside that program or service. Such structural gaps may include:</w:t>
      </w:r>
    </w:p>
    <w:p>
      <w:pPr>
        <w:spacing w:line="333" w:lineRule="auto" w:before="268"/>
        <w:ind w:left="1200" w:right="257" w:hanging="182"/>
        <w:jc w:val="left"/>
        <w:rPr>
          <w:sz w:val="20"/>
        </w:rPr>
      </w:pPr>
      <w:r>
        <w:rPr>
          <w:position w:val="3"/>
        </w:rPr>
        <w:drawing>
          <wp:inline distT="0" distB="0" distL="0" distR="0">
            <wp:extent cx="45720" cy="45719"/>
            <wp:effectExtent l="0" t="0" r="0" b="0"/>
            <wp:docPr id="8" name="Image 8"/>
            <wp:cNvGraphicFramePr>
              <a:graphicFrameLocks/>
            </wp:cNvGraphicFramePr>
            <a:graphic>
              <a:graphicData uri="http://schemas.openxmlformats.org/drawingml/2006/picture">
                <pic:pic>
                  <pic:nvPicPr>
                    <pic:cNvPr id="8" name="Image 8"/>
                    <pic:cNvPicPr/>
                  </pic:nvPicPr>
                  <pic:blipFill>
                    <a:blip r:embed="rId16" cstate="print"/>
                    <a:stretch>
                      <a:fillRect/>
                    </a:stretch>
                  </pic:blipFill>
                  <pic:spPr>
                    <a:xfrm>
                      <a:off x="0" y="0"/>
                      <a:ext cx="45720" cy="45719"/>
                    </a:xfrm>
                    <a:prstGeom prst="rect">
                      <a:avLst/>
                    </a:prstGeom>
                  </pic:spPr>
                </pic:pic>
              </a:graphicData>
            </a:graphic>
          </wp:inline>
        </w:drawing>
      </w:r>
      <w:r>
        <w:rPr>
          <w:position w:val="3"/>
        </w:rPr>
      </w:r>
      <w:r>
        <w:rPr>
          <w:rFonts w:ascii="Times New Roman"/>
          <w:spacing w:val="40"/>
          <w:sz w:val="20"/>
        </w:rPr>
        <w:t> </w:t>
      </w:r>
      <w:r>
        <w:rPr>
          <w:sz w:val="20"/>
        </w:rPr>
        <w:t>No</w:t>
      </w:r>
      <w:r>
        <w:rPr>
          <w:spacing w:val="-3"/>
          <w:sz w:val="20"/>
        </w:rPr>
        <w:t> </w:t>
      </w:r>
      <w:r>
        <w:rPr>
          <w:sz w:val="20"/>
        </w:rPr>
        <w:t>access</w:t>
      </w:r>
      <w:r>
        <w:rPr>
          <w:spacing w:val="-3"/>
          <w:sz w:val="20"/>
        </w:rPr>
        <w:t> </w:t>
      </w:r>
      <w:r>
        <w:rPr>
          <w:sz w:val="20"/>
        </w:rPr>
        <w:t>to</w:t>
      </w:r>
      <w:r>
        <w:rPr>
          <w:spacing w:val="-3"/>
          <w:sz w:val="20"/>
        </w:rPr>
        <w:t> </w:t>
      </w:r>
      <w:r>
        <w:rPr>
          <w:sz w:val="20"/>
        </w:rPr>
        <w:t>assistive</w:t>
      </w:r>
      <w:r>
        <w:rPr>
          <w:spacing w:val="-3"/>
          <w:sz w:val="20"/>
        </w:rPr>
        <w:t> </w:t>
      </w:r>
      <w:r>
        <w:rPr>
          <w:sz w:val="20"/>
        </w:rPr>
        <w:t>technology</w:t>
      </w:r>
      <w:r>
        <w:rPr>
          <w:spacing w:val="-3"/>
          <w:sz w:val="20"/>
        </w:rPr>
        <w:t> </w:t>
      </w:r>
      <w:r>
        <w:rPr>
          <w:sz w:val="20"/>
        </w:rPr>
        <w:t>or</w:t>
      </w:r>
      <w:r>
        <w:rPr>
          <w:spacing w:val="-3"/>
          <w:sz w:val="20"/>
        </w:rPr>
        <w:t> </w:t>
      </w:r>
      <w:r>
        <w:rPr>
          <w:sz w:val="20"/>
        </w:rPr>
        <w:t>support</w:t>
      </w:r>
      <w:r>
        <w:rPr>
          <w:spacing w:val="-3"/>
          <w:sz w:val="20"/>
        </w:rPr>
        <w:t> </w:t>
      </w:r>
      <w:r>
        <w:rPr>
          <w:sz w:val="20"/>
        </w:rPr>
        <w:t>services</w:t>
      </w:r>
      <w:r>
        <w:rPr>
          <w:spacing w:val="-3"/>
          <w:sz w:val="20"/>
        </w:rPr>
        <w:t> </w:t>
      </w:r>
      <w:r>
        <w:rPr>
          <w:sz w:val="20"/>
        </w:rPr>
        <w:t>to</w:t>
      </w:r>
      <w:r>
        <w:rPr>
          <w:spacing w:val="-3"/>
          <w:sz w:val="20"/>
        </w:rPr>
        <w:t> </w:t>
      </w:r>
      <w:r>
        <w:rPr>
          <w:sz w:val="20"/>
        </w:rPr>
        <w:t>enable</w:t>
      </w:r>
      <w:r>
        <w:rPr>
          <w:spacing w:val="-3"/>
          <w:sz w:val="20"/>
        </w:rPr>
        <w:t> </w:t>
      </w:r>
      <w:r>
        <w:rPr>
          <w:sz w:val="20"/>
        </w:rPr>
        <w:t>people</w:t>
      </w:r>
      <w:r>
        <w:rPr>
          <w:spacing w:val="-3"/>
          <w:sz w:val="20"/>
        </w:rPr>
        <w:t> </w:t>
      </w:r>
      <w:r>
        <w:rPr>
          <w:sz w:val="20"/>
        </w:rPr>
        <w:t>with</w:t>
      </w:r>
      <w:r>
        <w:rPr>
          <w:spacing w:val="-3"/>
          <w:sz w:val="20"/>
        </w:rPr>
        <w:t> </w:t>
      </w:r>
      <w:r>
        <w:rPr>
          <w:sz w:val="20"/>
        </w:rPr>
        <w:t>disabilities</w:t>
      </w:r>
      <w:r>
        <w:rPr>
          <w:spacing w:val="-3"/>
          <w:sz w:val="20"/>
        </w:rPr>
        <w:t> </w:t>
      </w:r>
      <w:r>
        <w:rPr>
          <w:sz w:val="20"/>
        </w:rPr>
        <w:t>to</w:t>
      </w:r>
      <w:r>
        <w:rPr>
          <w:spacing w:val="-3"/>
          <w:sz w:val="20"/>
        </w:rPr>
        <w:t> </w:t>
      </w:r>
      <w:r>
        <w:rPr>
          <w:sz w:val="20"/>
        </w:rPr>
        <w:t>move around, communicate or participate with independence, ease and dignity</w:t>
      </w:r>
    </w:p>
    <w:p>
      <w:pPr>
        <w:spacing w:before="1"/>
        <w:ind w:left="1018" w:right="0" w:firstLine="0"/>
        <w:jc w:val="left"/>
        <w:rPr>
          <w:sz w:val="20"/>
        </w:rPr>
      </w:pPr>
      <w:r>
        <w:rPr>
          <w:position w:val="3"/>
        </w:rPr>
        <w:drawing>
          <wp:inline distT="0" distB="0" distL="0" distR="0">
            <wp:extent cx="45720" cy="45719"/>
            <wp:effectExtent l="0" t="0" r="0" b="0"/>
            <wp:docPr id="9" name="Image 9"/>
            <wp:cNvGraphicFramePr>
              <a:graphicFrameLocks/>
            </wp:cNvGraphicFramePr>
            <a:graphic>
              <a:graphicData uri="http://schemas.openxmlformats.org/drawingml/2006/picture">
                <pic:pic>
                  <pic:nvPicPr>
                    <pic:cNvPr id="9" name="Image 9"/>
                    <pic:cNvPicPr/>
                  </pic:nvPicPr>
                  <pic:blipFill>
                    <a:blip r:embed="rId16" cstate="print"/>
                    <a:stretch>
                      <a:fillRect/>
                    </a:stretch>
                  </pic:blipFill>
                  <pic:spPr>
                    <a:xfrm>
                      <a:off x="0" y="0"/>
                      <a:ext cx="45720" cy="45719"/>
                    </a:xfrm>
                    <a:prstGeom prst="rect">
                      <a:avLst/>
                    </a:prstGeom>
                  </pic:spPr>
                </pic:pic>
              </a:graphicData>
            </a:graphic>
          </wp:inline>
        </w:drawing>
      </w:r>
      <w:r>
        <w:rPr>
          <w:position w:val="3"/>
        </w:rPr>
      </w:r>
      <w:r>
        <w:rPr>
          <w:rFonts w:ascii="Times New Roman"/>
          <w:spacing w:val="77"/>
          <w:sz w:val="20"/>
        </w:rPr>
        <w:t> </w:t>
      </w:r>
      <w:r>
        <w:rPr>
          <w:sz w:val="20"/>
        </w:rPr>
        <w:t>Inaccessible footpaths, roads, transport, information and communication</w:t>
      </w:r>
    </w:p>
    <w:p>
      <w:pPr>
        <w:spacing w:line="333" w:lineRule="auto" w:before="90"/>
        <w:ind w:left="1200" w:right="257" w:hanging="182"/>
        <w:jc w:val="left"/>
        <w:rPr>
          <w:sz w:val="20"/>
        </w:rPr>
      </w:pPr>
      <w:r>
        <w:rPr>
          <w:position w:val="3"/>
        </w:rPr>
        <w:drawing>
          <wp:inline distT="0" distB="0" distL="0" distR="0">
            <wp:extent cx="45720" cy="4571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6" cstate="print"/>
                    <a:stretch>
                      <a:fillRect/>
                    </a:stretch>
                  </pic:blipFill>
                  <pic:spPr>
                    <a:xfrm>
                      <a:off x="0" y="0"/>
                      <a:ext cx="45720" cy="45719"/>
                    </a:xfrm>
                    <a:prstGeom prst="rect">
                      <a:avLst/>
                    </a:prstGeom>
                  </pic:spPr>
                </pic:pic>
              </a:graphicData>
            </a:graphic>
          </wp:inline>
        </w:drawing>
      </w:r>
      <w:r>
        <w:rPr>
          <w:position w:val="3"/>
        </w:rPr>
      </w:r>
      <w:r>
        <w:rPr>
          <w:rFonts w:ascii="Times New Roman"/>
          <w:spacing w:val="40"/>
          <w:sz w:val="20"/>
        </w:rPr>
        <w:t> </w:t>
      </w:r>
      <w:r>
        <w:rPr>
          <w:sz w:val="20"/>
        </w:rPr>
        <w:t>Discriminatory</w:t>
      </w:r>
      <w:r>
        <w:rPr>
          <w:spacing w:val="-3"/>
          <w:sz w:val="20"/>
        </w:rPr>
        <w:t> </w:t>
      </w:r>
      <w:r>
        <w:rPr>
          <w:sz w:val="20"/>
        </w:rPr>
        <w:t>and</w:t>
      </w:r>
      <w:r>
        <w:rPr>
          <w:spacing w:val="-3"/>
          <w:sz w:val="20"/>
        </w:rPr>
        <w:t> </w:t>
      </w:r>
      <w:r>
        <w:rPr>
          <w:sz w:val="20"/>
        </w:rPr>
        <w:t>prejudicial</w:t>
      </w:r>
      <w:r>
        <w:rPr>
          <w:spacing w:val="-3"/>
          <w:sz w:val="20"/>
        </w:rPr>
        <w:t> </w:t>
      </w:r>
      <w:r>
        <w:rPr>
          <w:sz w:val="20"/>
        </w:rPr>
        <w:t>attitudes</w:t>
      </w:r>
      <w:r>
        <w:rPr>
          <w:spacing w:val="-3"/>
          <w:sz w:val="20"/>
        </w:rPr>
        <w:t> </w:t>
      </w:r>
      <w:r>
        <w:rPr>
          <w:sz w:val="20"/>
        </w:rPr>
        <w:t>and</w:t>
      </w:r>
      <w:r>
        <w:rPr>
          <w:spacing w:val="-3"/>
          <w:sz w:val="20"/>
        </w:rPr>
        <w:t> </w:t>
      </w:r>
      <w:r>
        <w:rPr>
          <w:sz w:val="20"/>
        </w:rPr>
        <w:t>norms</w:t>
      </w:r>
      <w:r>
        <w:rPr>
          <w:spacing w:val="-3"/>
          <w:sz w:val="20"/>
        </w:rPr>
        <w:t> </w:t>
      </w:r>
      <w:r>
        <w:rPr>
          <w:sz w:val="20"/>
        </w:rPr>
        <w:t>throughout</w:t>
      </w:r>
      <w:r>
        <w:rPr>
          <w:spacing w:val="-3"/>
          <w:sz w:val="20"/>
        </w:rPr>
        <w:t> </w:t>
      </w:r>
      <w:r>
        <w:rPr>
          <w:sz w:val="20"/>
        </w:rPr>
        <w:t>various</w:t>
      </w:r>
      <w:r>
        <w:rPr>
          <w:spacing w:val="-3"/>
          <w:sz w:val="20"/>
        </w:rPr>
        <w:t> </w:t>
      </w:r>
      <w:r>
        <w:rPr>
          <w:sz w:val="20"/>
        </w:rPr>
        <w:t>parts</w:t>
      </w:r>
      <w:r>
        <w:rPr>
          <w:spacing w:val="-3"/>
          <w:sz w:val="20"/>
        </w:rPr>
        <w:t> </w:t>
      </w:r>
      <w:r>
        <w:rPr>
          <w:sz w:val="20"/>
        </w:rPr>
        <w:t>of</w:t>
      </w:r>
      <w:r>
        <w:rPr>
          <w:spacing w:val="-3"/>
          <w:sz w:val="20"/>
        </w:rPr>
        <w:t> </w:t>
      </w:r>
      <w:r>
        <w:rPr>
          <w:sz w:val="20"/>
        </w:rPr>
        <w:t>society</w:t>
      </w:r>
      <w:r>
        <w:rPr>
          <w:spacing w:val="-3"/>
          <w:sz w:val="20"/>
        </w:rPr>
        <w:t> </w:t>
      </w:r>
      <w:r>
        <w:rPr>
          <w:sz w:val="20"/>
        </w:rPr>
        <w:t>that</w:t>
      </w:r>
      <w:r>
        <w:rPr>
          <w:spacing w:val="-3"/>
          <w:sz w:val="20"/>
        </w:rPr>
        <w:t> </w:t>
      </w:r>
      <w:r>
        <w:rPr>
          <w:sz w:val="20"/>
        </w:rPr>
        <w:t>make</w:t>
      </w:r>
      <w:r>
        <w:rPr>
          <w:spacing w:val="-3"/>
          <w:sz w:val="20"/>
        </w:rPr>
        <w:t> </w:t>
      </w:r>
      <w:r>
        <w:rPr>
          <w:sz w:val="20"/>
        </w:rPr>
        <w:t>it difficult or even dangerous to try to participate</w:t>
      </w:r>
    </w:p>
    <w:p>
      <w:pPr>
        <w:spacing w:line="333" w:lineRule="auto" w:before="1"/>
        <w:ind w:left="1200" w:right="45" w:hanging="182"/>
        <w:jc w:val="left"/>
        <w:rPr>
          <w:sz w:val="20"/>
        </w:rPr>
      </w:pPr>
      <w:r>
        <w:rPr>
          <w:position w:val="3"/>
        </w:rPr>
        <w:drawing>
          <wp:inline distT="0" distB="0" distL="0" distR="0">
            <wp:extent cx="45720" cy="45719"/>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6" cstate="print"/>
                    <a:stretch>
                      <a:fillRect/>
                    </a:stretch>
                  </pic:blipFill>
                  <pic:spPr>
                    <a:xfrm>
                      <a:off x="0" y="0"/>
                      <a:ext cx="45720" cy="45719"/>
                    </a:xfrm>
                    <a:prstGeom prst="rect">
                      <a:avLst/>
                    </a:prstGeom>
                  </pic:spPr>
                </pic:pic>
              </a:graphicData>
            </a:graphic>
          </wp:inline>
        </w:drawing>
      </w:r>
      <w:r>
        <w:rPr>
          <w:position w:val="3"/>
        </w:rPr>
      </w:r>
      <w:r>
        <w:rPr>
          <w:rFonts w:ascii="Times New Roman"/>
          <w:spacing w:val="40"/>
          <w:sz w:val="20"/>
        </w:rPr>
        <w:t> </w:t>
      </w:r>
      <w:r>
        <w:rPr>
          <w:sz w:val="20"/>
        </w:rPr>
        <w:t>No awareness that they have equal rights to services opportunities (such as employment, education or</w:t>
      </w:r>
      <w:r>
        <w:rPr>
          <w:spacing w:val="-3"/>
          <w:sz w:val="20"/>
        </w:rPr>
        <w:t> </w:t>
      </w:r>
      <w:r>
        <w:rPr>
          <w:sz w:val="20"/>
        </w:rPr>
        <w:t>more),</w:t>
      </w:r>
      <w:r>
        <w:rPr>
          <w:spacing w:val="-3"/>
          <w:sz w:val="20"/>
        </w:rPr>
        <w:t> </w:t>
      </w:r>
      <w:r>
        <w:rPr>
          <w:sz w:val="20"/>
        </w:rPr>
        <w:t>lack</w:t>
      </w:r>
      <w:r>
        <w:rPr>
          <w:spacing w:val="-3"/>
          <w:sz w:val="20"/>
        </w:rPr>
        <w:t> </w:t>
      </w:r>
      <w:r>
        <w:rPr>
          <w:sz w:val="20"/>
        </w:rPr>
        <w:t>of</w:t>
      </w:r>
      <w:r>
        <w:rPr>
          <w:spacing w:val="-3"/>
          <w:sz w:val="20"/>
        </w:rPr>
        <w:t> </w:t>
      </w:r>
      <w:r>
        <w:rPr>
          <w:sz w:val="20"/>
        </w:rPr>
        <w:t>legal</w:t>
      </w:r>
      <w:r>
        <w:rPr>
          <w:spacing w:val="-3"/>
          <w:sz w:val="20"/>
        </w:rPr>
        <w:t> </w:t>
      </w:r>
      <w:r>
        <w:rPr>
          <w:sz w:val="20"/>
        </w:rPr>
        <w:t>protections</w:t>
      </w:r>
      <w:r>
        <w:rPr>
          <w:spacing w:val="-3"/>
          <w:sz w:val="20"/>
        </w:rPr>
        <w:t> </w:t>
      </w:r>
      <w:r>
        <w:rPr>
          <w:sz w:val="20"/>
        </w:rPr>
        <w:t>against</w:t>
      </w:r>
      <w:r>
        <w:rPr>
          <w:spacing w:val="-3"/>
          <w:sz w:val="20"/>
        </w:rPr>
        <w:t> </w:t>
      </w:r>
      <w:r>
        <w:rPr>
          <w:sz w:val="20"/>
        </w:rPr>
        <w:t>discrimination</w:t>
      </w:r>
      <w:r>
        <w:rPr>
          <w:spacing w:val="-3"/>
          <w:sz w:val="20"/>
        </w:rPr>
        <w:t> </w:t>
      </w:r>
      <w:r>
        <w:rPr>
          <w:sz w:val="20"/>
        </w:rPr>
        <w:t>on</w:t>
      </w:r>
      <w:r>
        <w:rPr>
          <w:spacing w:val="-3"/>
          <w:sz w:val="20"/>
        </w:rPr>
        <w:t> </w:t>
      </w:r>
      <w:r>
        <w:rPr>
          <w:sz w:val="20"/>
        </w:rPr>
        <w:t>the</w:t>
      </w:r>
      <w:r>
        <w:rPr>
          <w:spacing w:val="-3"/>
          <w:sz w:val="20"/>
        </w:rPr>
        <w:t> </w:t>
      </w:r>
      <w:r>
        <w:rPr>
          <w:sz w:val="20"/>
        </w:rPr>
        <w:t>basis</w:t>
      </w:r>
      <w:r>
        <w:rPr>
          <w:spacing w:val="-3"/>
          <w:sz w:val="20"/>
        </w:rPr>
        <w:t> </w:t>
      </w:r>
      <w:r>
        <w:rPr>
          <w:sz w:val="20"/>
        </w:rPr>
        <w:t>of</w:t>
      </w:r>
      <w:r>
        <w:rPr>
          <w:spacing w:val="-3"/>
          <w:sz w:val="20"/>
        </w:rPr>
        <w:t> </w:t>
      </w:r>
      <w:r>
        <w:rPr>
          <w:sz w:val="20"/>
        </w:rPr>
        <w:t>disability,</w:t>
      </w:r>
      <w:r>
        <w:rPr>
          <w:spacing w:val="-3"/>
          <w:sz w:val="20"/>
        </w:rPr>
        <w:t> </w:t>
      </w:r>
      <w:r>
        <w:rPr>
          <w:sz w:val="20"/>
        </w:rPr>
        <w:t>and/or</w:t>
      </w:r>
      <w:r>
        <w:rPr>
          <w:spacing w:val="-3"/>
          <w:sz w:val="20"/>
        </w:rPr>
        <w:t> </w:t>
      </w:r>
      <w:r>
        <w:rPr>
          <w:sz w:val="20"/>
        </w:rPr>
        <w:t>lack</w:t>
      </w:r>
      <w:r>
        <w:rPr>
          <w:spacing w:val="-3"/>
          <w:sz w:val="20"/>
        </w:rPr>
        <w:t> </w:t>
      </w:r>
      <w:r>
        <w:rPr>
          <w:sz w:val="20"/>
        </w:rPr>
        <w:t>of</w:t>
      </w:r>
      <w:r>
        <w:rPr>
          <w:spacing w:val="-3"/>
          <w:sz w:val="20"/>
        </w:rPr>
        <w:t> </w:t>
      </w:r>
      <w:r>
        <w:rPr>
          <w:sz w:val="20"/>
        </w:rPr>
        <w:t>legal pathways to complain or seek redress for discrimination</w:t>
      </w:r>
    </w:p>
    <w:p>
      <w:pPr>
        <w:spacing w:before="1"/>
        <w:ind w:left="1018" w:right="0" w:firstLine="0"/>
        <w:jc w:val="left"/>
        <w:rPr>
          <w:sz w:val="20"/>
        </w:rPr>
      </w:pPr>
      <w:r>
        <w:rPr>
          <w:position w:val="3"/>
        </w:rPr>
        <w:drawing>
          <wp:inline distT="0" distB="0" distL="0" distR="0">
            <wp:extent cx="45720" cy="45719"/>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6" cstate="print"/>
                    <a:stretch>
                      <a:fillRect/>
                    </a:stretch>
                  </pic:blipFill>
                  <pic:spPr>
                    <a:xfrm>
                      <a:off x="0" y="0"/>
                      <a:ext cx="45720" cy="45719"/>
                    </a:xfrm>
                    <a:prstGeom prst="rect">
                      <a:avLst/>
                    </a:prstGeom>
                  </pic:spPr>
                </pic:pic>
              </a:graphicData>
            </a:graphic>
          </wp:inline>
        </w:drawing>
      </w:r>
      <w:r>
        <w:rPr>
          <w:position w:val="3"/>
        </w:rPr>
      </w:r>
      <w:r>
        <w:rPr>
          <w:rFonts w:ascii="Times New Roman"/>
          <w:spacing w:val="68"/>
          <w:sz w:val="20"/>
        </w:rPr>
        <w:t> </w:t>
      </w:r>
      <w:r>
        <w:rPr>
          <w:sz w:val="20"/>
        </w:rPr>
        <w:t>Lack of resources to pay for the extra costs that come with having a disability.</w:t>
      </w:r>
    </w:p>
    <w:p>
      <w:pPr>
        <w:pStyle w:val="BodyText"/>
        <w:spacing w:before="37"/>
        <w:ind w:left="0"/>
      </w:pPr>
    </w:p>
    <w:p>
      <w:pPr>
        <w:pStyle w:val="BodyText"/>
        <w:spacing w:line="292" w:lineRule="auto" w:before="1"/>
        <w:ind w:right="257"/>
      </w:pPr>
      <w:r>
        <w:rPr/>
        <w:t>Addressing</w:t>
      </w:r>
      <w:r>
        <w:rPr>
          <w:spacing w:val="-3"/>
        </w:rPr>
        <w:t> </w:t>
      </w:r>
      <w:r>
        <w:rPr/>
        <w:t>these</w:t>
      </w:r>
      <w:r>
        <w:rPr>
          <w:spacing w:val="-3"/>
        </w:rPr>
        <w:t> </w:t>
      </w:r>
      <w:r>
        <w:rPr/>
        <w:t>structural</w:t>
      </w:r>
      <w:r>
        <w:rPr>
          <w:spacing w:val="-3"/>
        </w:rPr>
        <w:t> </w:t>
      </w:r>
      <w:r>
        <w:rPr/>
        <w:t>barriers</w:t>
      </w:r>
      <w:r>
        <w:rPr>
          <w:spacing w:val="-3"/>
        </w:rPr>
        <w:t> </w:t>
      </w:r>
      <w:r>
        <w:rPr/>
        <w:t>from</w:t>
      </w:r>
      <w:r>
        <w:rPr>
          <w:spacing w:val="-3"/>
        </w:rPr>
        <w:t> </w:t>
      </w:r>
      <w:r>
        <w:rPr/>
        <w:t>community</w:t>
      </w:r>
      <w:r>
        <w:rPr>
          <w:spacing w:val="-3"/>
        </w:rPr>
        <w:t> </w:t>
      </w:r>
      <w:r>
        <w:rPr/>
        <w:t>to</w:t>
      </w:r>
      <w:r>
        <w:rPr>
          <w:spacing w:val="-3"/>
        </w:rPr>
        <w:t> </w:t>
      </w:r>
      <w:r>
        <w:rPr/>
        <w:t>national</w:t>
      </w:r>
      <w:r>
        <w:rPr>
          <w:spacing w:val="-3"/>
        </w:rPr>
        <w:t> </w:t>
      </w:r>
      <w:r>
        <w:rPr/>
        <w:t>levels</w:t>
      </w:r>
      <w:r>
        <w:rPr>
          <w:spacing w:val="-3"/>
        </w:rPr>
        <w:t> </w:t>
      </w:r>
      <w:r>
        <w:rPr/>
        <w:t>is</w:t>
      </w:r>
      <w:r>
        <w:rPr>
          <w:spacing w:val="-3"/>
        </w:rPr>
        <w:t> </w:t>
      </w:r>
      <w:r>
        <w:rPr/>
        <w:t>required</w:t>
      </w:r>
      <w:r>
        <w:rPr>
          <w:spacing w:val="-3"/>
        </w:rPr>
        <w:t> </w:t>
      </w:r>
      <w:r>
        <w:rPr/>
        <w:t>to create an enabling environment for equal participation of people with disabilities.</w:t>
      </w:r>
    </w:p>
    <w:p>
      <w:pPr>
        <w:pStyle w:val="BodyText"/>
        <w:spacing w:line="292" w:lineRule="auto" w:before="258"/>
        <w:ind w:right="257"/>
      </w:pPr>
      <w:r>
        <w:rPr/>
        <w:t>There are core common preconditions are the key elements to inclusion: accessibility, assistive technology, support services and non-discrimination. Some organisations have added elements reflecting their particular purpose and context. The </w:t>
      </w:r>
      <w:hyperlink r:id="rId17">
        <w:r>
          <w:rPr>
            <w:color w:val="D77900"/>
          </w:rPr>
          <w:t>Pacific Disability Forum</w:t>
        </w:r>
      </w:hyperlink>
      <w:r>
        <w:rPr>
          <w:color w:val="D77900"/>
        </w:rPr>
        <w:t> </w:t>
      </w:r>
      <w:r>
        <w:rPr/>
        <w:t>has included social protection and community-based inclusive development in their preconditions list, and CBM Global reflects the extra costs</w:t>
      </w:r>
      <w:r>
        <w:rPr>
          <w:spacing w:val="-3"/>
        </w:rPr>
        <w:t> </w:t>
      </w:r>
      <w:r>
        <w:rPr/>
        <w:t>of</w:t>
      </w:r>
      <w:r>
        <w:rPr>
          <w:spacing w:val="-3"/>
        </w:rPr>
        <w:t> </w:t>
      </w:r>
      <w:r>
        <w:rPr/>
        <w:t>disability,</w:t>
      </w:r>
      <w:r>
        <w:rPr>
          <w:spacing w:val="-3"/>
        </w:rPr>
        <w:t> </w:t>
      </w:r>
      <w:r>
        <w:rPr/>
        <w:t>community</w:t>
      </w:r>
      <w:r>
        <w:rPr>
          <w:spacing w:val="-3"/>
        </w:rPr>
        <w:t> </w:t>
      </w:r>
      <w:r>
        <w:rPr/>
        <w:t>inclusion,</w:t>
      </w:r>
      <w:r>
        <w:rPr>
          <w:spacing w:val="-3"/>
        </w:rPr>
        <w:t> </w:t>
      </w:r>
      <w:r>
        <w:rPr/>
        <w:t>as</w:t>
      </w:r>
      <w:r>
        <w:rPr>
          <w:spacing w:val="-3"/>
        </w:rPr>
        <w:t> </w:t>
      </w:r>
      <w:r>
        <w:rPr/>
        <w:t>well</w:t>
      </w:r>
      <w:r>
        <w:rPr>
          <w:spacing w:val="-3"/>
        </w:rPr>
        <w:t> </w:t>
      </w:r>
      <w:r>
        <w:rPr/>
        <w:t>as</w:t>
      </w:r>
      <w:r>
        <w:rPr>
          <w:spacing w:val="-3"/>
        </w:rPr>
        <w:t> </w:t>
      </w:r>
      <w:r>
        <w:rPr/>
        <w:t>inclusive</w:t>
      </w:r>
      <w:r>
        <w:rPr>
          <w:spacing w:val="-3"/>
        </w:rPr>
        <w:t> </w:t>
      </w:r>
      <w:r>
        <w:rPr/>
        <w:t>budgeting</w:t>
      </w:r>
      <w:r>
        <w:rPr>
          <w:spacing w:val="-3"/>
        </w:rPr>
        <w:t> </w:t>
      </w:r>
      <w:r>
        <w:rPr/>
        <w:t>and</w:t>
      </w:r>
      <w:r>
        <w:rPr>
          <w:spacing w:val="-3"/>
        </w:rPr>
        <w:t> </w:t>
      </w:r>
      <w:r>
        <w:rPr/>
        <w:t>data,</w:t>
      </w:r>
      <w:r>
        <w:rPr>
          <w:spacing w:val="-3"/>
        </w:rPr>
        <w:t> </w:t>
      </w:r>
      <w:r>
        <w:rPr/>
        <w:t>and empowerment and participation, within their expanded framework.</w:t>
      </w:r>
    </w:p>
    <w:p>
      <w:pPr>
        <w:pStyle w:val="BodyText"/>
        <w:spacing w:line="292" w:lineRule="auto" w:before="255"/>
        <w:ind w:right="257"/>
      </w:pPr>
      <w:r>
        <w:rPr/>
        <w:t>When these elements are not in place, there are likely to be significant and persistent</w:t>
      </w:r>
      <w:r>
        <w:rPr>
          <w:spacing w:val="-2"/>
        </w:rPr>
        <w:t> </w:t>
      </w:r>
      <w:r>
        <w:rPr/>
        <w:t>structural</w:t>
      </w:r>
      <w:r>
        <w:rPr>
          <w:spacing w:val="-2"/>
        </w:rPr>
        <w:t> </w:t>
      </w:r>
      <w:r>
        <w:rPr/>
        <w:t>barriers</w:t>
      </w:r>
      <w:r>
        <w:rPr>
          <w:spacing w:val="-2"/>
        </w:rPr>
        <w:t> </w:t>
      </w:r>
      <w:r>
        <w:rPr/>
        <w:t>that</w:t>
      </w:r>
      <w:r>
        <w:rPr>
          <w:spacing w:val="-2"/>
        </w:rPr>
        <w:t> </w:t>
      </w:r>
      <w:r>
        <w:rPr/>
        <w:t>prevent</w:t>
      </w:r>
      <w:r>
        <w:rPr>
          <w:spacing w:val="-2"/>
        </w:rPr>
        <w:t> </w:t>
      </w:r>
      <w:r>
        <w:rPr/>
        <w:t>people</w:t>
      </w:r>
      <w:r>
        <w:rPr>
          <w:spacing w:val="-2"/>
        </w:rPr>
        <w:t> </w:t>
      </w:r>
      <w:r>
        <w:rPr/>
        <w:t>with</w:t>
      </w:r>
      <w:r>
        <w:rPr>
          <w:spacing w:val="-2"/>
        </w:rPr>
        <w:t> </w:t>
      </w:r>
      <w:r>
        <w:rPr/>
        <w:t>disabilities</w:t>
      </w:r>
      <w:r>
        <w:rPr>
          <w:spacing w:val="-2"/>
        </w:rPr>
        <w:t> </w:t>
      </w:r>
      <w:r>
        <w:rPr/>
        <w:t>from</w:t>
      </w:r>
      <w:r>
        <w:rPr>
          <w:spacing w:val="-2"/>
        </w:rPr>
        <w:t> </w:t>
      </w:r>
      <w:r>
        <w:rPr/>
        <w:t>participating</w:t>
      </w:r>
      <w:r>
        <w:rPr>
          <w:spacing w:val="-2"/>
        </w:rPr>
        <w:t> </w:t>
      </w:r>
      <w:r>
        <w:rPr/>
        <w:t>in programs,</w:t>
      </w:r>
      <w:r>
        <w:rPr>
          <w:spacing w:val="-3"/>
        </w:rPr>
        <w:t> </w:t>
      </w:r>
      <w:r>
        <w:rPr/>
        <w:t>services,</w:t>
      </w:r>
      <w:r>
        <w:rPr>
          <w:spacing w:val="-3"/>
        </w:rPr>
        <w:t> </w:t>
      </w:r>
      <w:r>
        <w:rPr/>
        <w:t>opportunities</w:t>
      </w:r>
      <w:r>
        <w:rPr>
          <w:spacing w:val="-3"/>
        </w:rPr>
        <w:t> </w:t>
      </w:r>
      <w:r>
        <w:rPr/>
        <w:t>and</w:t>
      </w:r>
      <w:r>
        <w:rPr>
          <w:spacing w:val="-3"/>
        </w:rPr>
        <w:t> </w:t>
      </w:r>
      <w:r>
        <w:rPr/>
        <w:t>everyday</w:t>
      </w:r>
      <w:r>
        <w:rPr>
          <w:spacing w:val="-3"/>
        </w:rPr>
        <w:t> </w:t>
      </w:r>
      <w:r>
        <w:rPr/>
        <w:t>life</w:t>
      </w:r>
      <w:r>
        <w:rPr>
          <w:spacing w:val="-3"/>
        </w:rPr>
        <w:t> </w:t>
      </w:r>
      <w:r>
        <w:rPr/>
        <w:t>in</w:t>
      </w:r>
      <w:r>
        <w:rPr>
          <w:spacing w:val="-3"/>
        </w:rPr>
        <w:t> </w:t>
      </w:r>
      <w:r>
        <w:rPr/>
        <w:t>their</w:t>
      </w:r>
      <w:r>
        <w:rPr>
          <w:spacing w:val="-3"/>
        </w:rPr>
        <w:t> </w:t>
      </w:r>
      <w:r>
        <w:rPr/>
        <w:t>communities</w:t>
      </w:r>
      <w:r>
        <w:rPr>
          <w:spacing w:val="-3"/>
        </w:rPr>
        <w:t> </w:t>
      </w:r>
      <w:r>
        <w:rPr/>
        <w:t>on</w:t>
      </w:r>
      <w:r>
        <w:rPr>
          <w:spacing w:val="-3"/>
        </w:rPr>
        <w:t> </w:t>
      </w:r>
      <w:r>
        <w:rPr/>
        <w:t>an</w:t>
      </w:r>
      <w:r>
        <w:rPr>
          <w:spacing w:val="-3"/>
        </w:rPr>
        <w:t> </w:t>
      </w:r>
      <w:r>
        <w:rPr/>
        <w:t>equal basis with others. This will occur even when international development programs have strong disability inclusion practices.</w:t>
      </w:r>
    </w:p>
    <w:p>
      <w:pPr>
        <w:pStyle w:val="BodyText"/>
        <w:spacing w:after="0" w:line="292" w:lineRule="auto"/>
        <w:sectPr>
          <w:pgSz w:w="11910" w:h="16840"/>
          <w:pgMar w:header="710" w:footer="690" w:top="1360" w:bottom="880" w:left="850" w:right="850"/>
        </w:sectPr>
      </w:pPr>
    </w:p>
    <w:p>
      <w:pPr>
        <w:pStyle w:val="BodyText"/>
        <w:spacing w:line="292" w:lineRule="auto" w:before="81"/>
        <w:ind w:right="257"/>
      </w:pPr>
      <w:r>
        <w:rPr/>
        <w:t>As</w:t>
      </w:r>
      <w:r>
        <w:rPr>
          <w:spacing w:val="-4"/>
        </w:rPr>
        <w:t> </w:t>
      </w:r>
      <w:r>
        <w:rPr/>
        <w:t>the</w:t>
      </w:r>
      <w:r>
        <w:rPr>
          <w:spacing w:val="-4"/>
        </w:rPr>
        <w:t> </w:t>
      </w:r>
      <w:r>
        <w:rPr/>
        <w:t>concept</w:t>
      </w:r>
      <w:r>
        <w:rPr>
          <w:spacing w:val="-4"/>
        </w:rPr>
        <w:t> </w:t>
      </w:r>
      <w:r>
        <w:rPr/>
        <w:t>of</w:t>
      </w:r>
      <w:r>
        <w:rPr>
          <w:spacing w:val="-4"/>
        </w:rPr>
        <w:t> </w:t>
      </w:r>
      <w:r>
        <w:rPr/>
        <w:t>preconditions</w:t>
      </w:r>
      <w:r>
        <w:rPr>
          <w:spacing w:val="-4"/>
        </w:rPr>
        <w:t> </w:t>
      </w:r>
      <w:r>
        <w:rPr/>
        <w:t>is</w:t>
      </w:r>
      <w:r>
        <w:rPr>
          <w:spacing w:val="-4"/>
        </w:rPr>
        <w:t> </w:t>
      </w:r>
      <w:r>
        <w:rPr/>
        <w:t>gaining</w:t>
      </w:r>
      <w:r>
        <w:rPr>
          <w:spacing w:val="-4"/>
        </w:rPr>
        <w:t> </w:t>
      </w:r>
      <w:r>
        <w:rPr/>
        <w:t>traction</w:t>
      </w:r>
      <w:r>
        <w:rPr>
          <w:spacing w:val="-4"/>
        </w:rPr>
        <w:t> </w:t>
      </w:r>
      <w:r>
        <w:rPr/>
        <w:t>globally,</w:t>
      </w:r>
      <w:r>
        <w:rPr>
          <w:spacing w:val="-4"/>
        </w:rPr>
        <w:t> </w:t>
      </w:r>
      <w:r>
        <w:rPr/>
        <w:t>a</w:t>
      </w:r>
      <w:r>
        <w:rPr>
          <w:spacing w:val="-4"/>
        </w:rPr>
        <w:t> </w:t>
      </w:r>
      <w:r>
        <w:rPr/>
        <w:t>conversation</w:t>
      </w:r>
      <w:r>
        <w:rPr>
          <w:spacing w:val="-4"/>
        </w:rPr>
        <w:t> </w:t>
      </w:r>
      <w:r>
        <w:rPr/>
        <w:t>also needs to be had on what they are </w:t>
      </w:r>
      <w:r>
        <w:rPr>
          <w:rFonts w:ascii="Arial"/>
          <w:i/>
        </w:rPr>
        <w:t>not</w:t>
      </w:r>
      <w:r>
        <w:rPr/>
        <w:t>.</w:t>
      </w:r>
    </w:p>
    <w:p>
      <w:pPr>
        <w:pStyle w:val="BodyText"/>
        <w:spacing w:line="292" w:lineRule="auto" w:before="259"/>
        <w:ind w:right="257"/>
      </w:pPr>
      <w:r>
        <w:rPr/>
        <w:t>There needs to be a clear distinction between the preconditions for inclusion and general disability-inclusion practices within international development and humanitarian programs. General disability-inclusion practices ensure people with disabilities can access an individual program, service or organisation on an equal basis</w:t>
      </w:r>
      <w:r>
        <w:rPr>
          <w:spacing w:val="-3"/>
        </w:rPr>
        <w:t> </w:t>
      </w:r>
      <w:r>
        <w:rPr/>
        <w:t>with</w:t>
      </w:r>
      <w:r>
        <w:rPr>
          <w:spacing w:val="-3"/>
        </w:rPr>
        <w:t> </w:t>
      </w:r>
      <w:r>
        <w:rPr/>
        <w:t>others.</w:t>
      </w:r>
      <w:r>
        <w:rPr>
          <w:spacing w:val="-3"/>
        </w:rPr>
        <w:t> </w:t>
      </w:r>
      <w:r>
        <w:rPr/>
        <w:t>For</w:t>
      </w:r>
      <w:r>
        <w:rPr>
          <w:spacing w:val="-3"/>
        </w:rPr>
        <w:t> </w:t>
      </w:r>
      <w:r>
        <w:rPr/>
        <w:t>example,</w:t>
      </w:r>
      <w:r>
        <w:rPr>
          <w:spacing w:val="-3"/>
        </w:rPr>
        <w:t> </w:t>
      </w:r>
      <w:r>
        <w:rPr/>
        <w:t>bringing</w:t>
      </w:r>
      <w:r>
        <w:rPr>
          <w:spacing w:val="-3"/>
        </w:rPr>
        <w:t> </w:t>
      </w:r>
      <w:r>
        <w:rPr/>
        <w:t>in</w:t>
      </w:r>
      <w:r>
        <w:rPr>
          <w:spacing w:val="-3"/>
        </w:rPr>
        <w:t> </w:t>
      </w:r>
      <w:r>
        <w:rPr/>
        <w:t>a</w:t>
      </w:r>
      <w:r>
        <w:rPr>
          <w:spacing w:val="-3"/>
        </w:rPr>
        <w:t> </w:t>
      </w:r>
      <w:r>
        <w:rPr/>
        <w:t>sign-language</w:t>
      </w:r>
      <w:r>
        <w:rPr>
          <w:spacing w:val="-3"/>
        </w:rPr>
        <w:t> </w:t>
      </w:r>
      <w:r>
        <w:rPr/>
        <w:t>interpreter</w:t>
      </w:r>
      <w:r>
        <w:rPr>
          <w:spacing w:val="-3"/>
        </w:rPr>
        <w:t> </w:t>
      </w:r>
      <w:r>
        <w:rPr/>
        <w:t>to</w:t>
      </w:r>
      <w:r>
        <w:rPr>
          <w:spacing w:val="-3"/>
        </w:rPr>
        <w:t> </w:t>
      </w:r>
      <w:r>
        <w:rPr/>
        <w:t>a</w:t>
      </w:r>
      <w:r>
        <w:rPr>
          <w:spacing w:val="-3"/>
        </w:rPr>
        <w:t> </w:t>
      </w:r>
      <w:r>
        <w:rPr/>
        <w:t>school</w:t>
      </w:r>
      <w:r>
        <w:rPr>
          <w:spacing w:val="-3"/>
        </w:rPr>
        <w:t> </w:t>
      </w:r>
      <w:r>
        <w:rPr/>
        <w:t>if there is a Deaf student, or ensuring a workshop is held at an accessible venue. All development and humanitarian programs should plan and budget for disability- inclusion practices, even if they do not have disability as a principal objective.</w:t>
      </w:r>
    </w:p>
    <w:p>
      <w:pPr>
        <w:pStyle w:val="BodyText"/>
        <w:spacing w:line="292" w:lineRule="auto" w:before="254"/>
        <w:ind w:right="272"/>
      </w:pPr>
      <w:r>
        <w:rPr/>
        <w:t>By contrast, precondition-related efforts are disability-targeted programs that specifically focus on achieving long-term, systemic changes to address relevant structural gaps at the national, sub-national or community-wide levels. Examples include a training program to address a shortage of sign-language interpreters, policy reform work to bring about legal recognition of sign language, or advocacy and</w:t>
      </w:r>
      <w:r>
        <w:rPr>
          <w:spacing w:val="-3"/>
        </w:rPr>
        <w:t> </w:t>
      </w:r>
      <w:r>
        <w:rPr/>
        <w:t>law</w:t>
      </w:r>
      <w:r>
        <w:rPr>
          <w:spacing w:val="-3"/>
        </w:rPr>
        <w:t> </w:t>
      </w:r>
      <w:r>
        <w:rPr/>
        <w:t>reform</w:t>
      </w:r>
      <w:r>
        <w:rPr>
          <w:spacing w:val="-3"/>
        </w:rPr>
        <w:t> </w:t>
      </w:r>
      <w:r>
        <w:rPr/>
        <w:t>work</w:t>
      </w:r>
      <w:r>
        <w:rPr>
          <w:spacing w:val="-3"/>
        </w:rPr>
        <w:t> </w:t>
      </w:r>
      <w:r>
        <w:rPr/>
        <w:t>to</w:t>
      </w:r>
      <w:r>
        <w:rPr>
          <w:spacing w:val="-3"/>
        </w:rPr>
        <w:t> </w:t>
      </w:r>
      <w:r>
        <w:rPr/>
        <w:t>introduce</w:t>
      </w:r>
      <w:r>
        <w:rPr>
          <w:spacing w:val="-3"/>
        </w:rPr>
        <w:t> </w:t>
      </w:r>
      <w:r>
        <w:rPr/>
        <w:t>building</w:t>
      </w:r>
      <w:r>
        <w:rPr>
          <w:spacing w:val="-3"/>
        </w:rPr>
        <w:t> </w:t>
      </w:r>
      <w:r>
        <w:rPr/>
        <w:t>codes</w:t>
      </w:r>
      <w:r>
        <w:rPr>
          <w:spacing w:val="-3"/>
        </w:rPr>
        <w:t> </w:t>
      </w:r>
      <w:r>
        <w:rPr/>
        <w:t>so</w:t>
      </w:r>
      <w:r>
        <w:rPr>
          <w:spacing w:val="-3"/>
        </w:rPr>
        <w:t> </w:t>
      </w:r>
      <w:r>
        <w:rPr/>
        <w:t>that</w:t>
      </w:r>
      <w:r>
        <w:rPr>
          <w:spacing w:val="-3"/>
        </w:rPr>
        <w:t> </w:t>
      </w:r>
      <w:r>
        <w:rPr/>
        <w:t>buildings</w:t>
      </w:r>
      <w:r>
        <w:rPr>
          <w:spacing w:val="-3"/>
        </w:rPr>
        <w:t> </w:t>
      </w:r>
      <w:r>
        <w:rPr/>
        <w:t>across</w:t>
      </w:r>
      <w:r>
        <w:rPr>
          <w:spacing w:val="-3"/>
        </w:rPr>
        <w:t> </w:t>
      </w:r>
      <w:r>
        <w:rPr/>
        <w:t>the</w:t>
      </w:r>
      <w:r>
        <w:rPr>
          <w:spacing w:val="-3"/>
        </w:rPr>
        <w:t> </w:t>
      </w:r>
      <w:r>
        <w:rPr/>
        <w:t>country are accessible and compliance can be enforced.</w:t>
      </w:r>
    </w:p>
    <w:p>
      <w:pPr>
        <w:pStyle w:val="BodyText"/>
        <w:spacing w:line="292" w:lineRule="auto" w:before="254"/>
        <w:ind w:right="257"/>
      </w:pPr>
      <w:r>
        <w:rPr/>
        <w:t>Not all international development cooperation needs to incorporate the preconditions, but to see meaningful progress on disability equity it is vital that the preconditions</w:t>
      </w:r>
      <w:r>
        <w:rPr>
          <w:spacing w:val="-4"/>
        </w:rPr>
        <w:t> </w:t>
      </w:r>
      <w:r>
        <w:rPr/>
        <w:t>are</w:t>
      </w:r>
      <w:r>
        <w:rPr>
          <w:spacing w:val="-4"/>
        </w:rPr>
        <w:t> </w:t>
      </w:r>
      <w:r>
        <w:rPr/>
        <w:t>a</w:t>
      </w:r>
      <w:r>
        <w:rPr>
          <w:spacing w:val="-4"/>
        </w:rPr>
        <w:t> </w:t>
      </w:r>
      <w:r>
        <w:rPr/>
        <w:t>strong</w:t>
      </w:r>
      <w:r>
        <w:rPr>
          <w:spacing w:val="-4"/>
        </w:rPr>
        <w:t> </w:t>
      </w:r>
      <w:r>
        <w:rPr/>
        <w:t>focus</w:t>
      </w:r>
      <w:r>
        <w:rPr>
          <w:spacing w:val="-4"/>
        </w:rPr>
        <w:t> </w:t>
      </w:r>
      <w:r>
        <w:rPr/>
        <w:t>within</w:t>
      </w:r>
      <w:r>
        <w:rPr>
          <w:spacing w:val="-4"/>
        </w:rPr>
        <w:t> </w:t>
      </w:r>
      <w:r>
        <w:rPr/>
        <w:t>the</w:t>
      </w:r>
      <w:r>
        <w:rPr>
          <w:spacing w:val="-4"/>
        </w:rPr>
        <w:t> </w:t>
      </w:r>
      <w:r>
        <w:rPr/>
        <w:t>“15%”</w:t>
      </w:r>
      <w:r>
        <w:rPr>
          <w:spacing w:val="-4"/>
        </w:rPr>
        <w:t> </w:t>
      </w:r>
      <w:r>
        <w:rPr/>
        <w:t>of</w:t>
      </w:r>
      <w:r>
        <w:rPr>
          <w:spacing w:val="-4"/>
        </w:rPr>
        <w:t> </w:t>
      </w:r>
      <w:r>
        <w:rPr/>
        <w:t>disability-targeted</w:t>
      </w:r>
      <w:r>
        <w:rPr>
          <w:spacing w:val="-4"/>
        </w:rPr>
        <w:t> </w:t>
      </w:r>
      <w:r>
        <w:rPr/>
        <w:t>investments. At the same time, disability-inclusion practices should be adopted within all international development programming and policies. As the Amman-Berlin Declaration states: “disability inclusion is relevant for all sectors”.</w:t>
      </w:r>
    </w:p>
    <w:p>
      <w:pPr>
        <w:pStyle w:val="BodyText"/>
        <w:ind w:left="0"/>
      </w:pPr>
    </w:p>
    <w:p>
      <w:pPr>
        <w:pStyle w:val="BodyText"/>
        <w:ind w:left="0"/>
      </w:pPr>
    </w:p>
    <w:p>
      <w:pPr>
        <w:pStyle w:val="BodyText"/>
        <w:spacing w:before="148"/>
        <w:ind w:left="0"/>
      </w:pPr>
    </w:p>
    <w:p>
      <w:pPr>
        <w:pStyle w:val="Heading1"/>
        <w:spacing w:before="1"/>
      </w:pPr>
      <w:r>
        <w:rPr>
          <w:spacing w:val="-2"/>
        </w:rPr>
        <w:t>Disclosures:</w:t>
      </w:r>
    </w:p>
    <w:p>
      <w:pPr>
        <w:spacing w:line="252" w:lineRule="auto" w:before="149"/>
        <w:ind w:left="69" w:right="257" w:firstLine="0"/>
        <w:jc w:val="left"/>
        <w:rPr>
          <w:rFonts w:ascii="Arial" w:hAnsi="Arial"/>
          <w:i/>
          <w:sz w:val="22"/>
        </w:rPr>
      </w:pPr>
      <w:r>
        <w:rPr>
          <w:rFonts w:ascii="Arial" w:hAnsi="Arial"/>
          <w:i/>
          <w:sz w:val="22"/>
        </w:rPr>
        <w:t>The Pacific Disability Forum and CBM Australia receive funding from Australia’s Department </w:t>
      </w:r>
      <w:r>
        <w:rPr>
          <w:rFonts w:ascii="Arial" w:hAnsi="Arial"/>
          <w:i/>
          <w:sz w:val="22"/>
        </w:rPr>
        <w:t>of Foreign Affairs and Trade. The views are those of the authors only.</w:t>
      </w:r>
    </w:p>
    <w:p>
      <w:pPr>
        <w:pStyle w:val="BodyText"/>
        <w:spacing w:before="119"/>
        <w:ind w:left="0"/>
        <w:rPr>
          <w:rFonts w:ascii="Arial"/>
          <w:i/>
          <w:sz w:val="22"/>
        </w:rPr>
      </w:pPr>
    </w:p>
    <w:p>
      <w:pPr>
        <w:pStyle w:val="Heading1"/>
      </w:pPr>
      <w:r>
        <w:rPr>
          <w:spacing w:val="-2"/>
        </w:rPr>
        <w:t>Author/s:</w:t>
      </w:r>
    </w:p>
    <w:p>
      <w:pPr>
        <w:spacing w:before="153"/>
        <w:ind w:left="69" w:right="0" w:firstLine="0"/>
        <w:jc w:val="left"/>
        <w:rPr>
          <w:rFonts w:ascii="Arial"/>
          <w:b/>
          <w:sz w:val="22"/>
        </w:rPr>
      </w:pPr>
      <w:r>
        <w:rPr>
          <w:rFonts w:ascii="Arial"/>
          <w:b/>
          <w:sz w:val="22"/>
        </w:rPr>
        <w:t>Sainimili </w:t>
      </w:r>
      <w:r>
        <w:rPr>
          <w:rFonts w:ascii="Arial"/>
          <w:b/>
          <w:spacing w:val="-2"/>
          <w:sz w:val="22"/>
        </w:rPr>
        <w:t>Tawake</w:t>
      </w:r>
    </w:p>
    <w:p>
      <w:pPr>
        <w:spacing w:line="252" w:lineRule="auto" w:before="9"/>
        <w:ind w:left="69" w:right="257" w:firstLine="0"/>
        <w:jc w:val="left"/>
        <w:rPr>
          <w:sz w:val="22"/>
        </w:rPr>
      </w:pPr>
      <w:r>
        <w:rPr>
          <w:sz w:val="22"/>
        </w:rPr>
        <w:t>Sainimili Tawake is Chief Executive Officer of the Pacific Disability Forum, which amplifies the </w:t>
      </w:r>
      <w:r>
        <w:rPr>
          <w:sz w:val="22"/>
        </w:rPr>
        <w:t>voices of people with disabilities in policy-making processes across the Pacific region.</w:t>
      </w:r>
    </w:p>
    <w:p>
      <w:pPr>
        <w:spacing w:before="220"/>
        <w:ind w:left="69" w:right="0" w:firstLine="0"/>
        <w:jc w:val="left"/>
        <w:rPr>
          <w:rFonts w:ascii="Arial"/>
          <w:b/>
          <w:sz w:val="22"/>
        </w:rPr>
      </w:pPr>
      <w:r>
        <w:rPr>
          <w:rFonts w:ascii="Arial"/>
          <w:b/>
          <w:sz w:val="22"/>
        </w:rPr>
        <w:t>Kobi </w:t>
      </w:r>
      <w:r>
        <w:rPr>
          <w:rFonts w:ascii="Arial"/>
          <w:b/>
          <w:spacing w:val="-2"/>
          <w:sz w:val="22"/>
        </w:rPr>
        <w:t>Maglen</w:t>
      </w:r>
    </w:p>
    <w:p>
      <w:pPr>
        <w:spacing w:line="252" w:lineRule="auto" w:before="9"/>
        <w:ind w:left="69" w:right="257" w:firstLine="0"/>
        <w:jc w:val="left"/>
        <w:rPr>
          <w:sz w:val="22"/>
        </w:rPr>
      </w:pPr>
      <w:r>
        <w:rPr>
          <w:sz w:val="22"/>
        </w:rPr>
        <w:t>Kobi Maglen is Director of Program Impact at CBM Australia, delivering disability inclusive </w:t>
      </w:r>
      <w:r>
        <w:rPr>
          <w:sz w:val="22"/>
        </w:rPr>
        <w:t>technical advice and field programs.</w:t>
      </w:r>
    </w:p>
    <w:p>
      <w:pPr>
        <w:spacing w:after="0" w:line="252" w:lineRule="auto"/>
        <w:jc w:val="left"/>
        <w:rPr>
          <w:sz w:val="22"/>
        </w:rPr>
        <w:sectPr>
          <w:pgSz w:w="11910" w:h="16840"/>
          <w:pgMar w:header="710" w:footer="690" w:top="1360" w:bottom="880" w:left="850" w:right="850"/>
        </w:sectPr>
      </w:pPr>
    </w:p>
    <w:p>
      <w:pPr>
        <w:spacing w:before="125"/>
        <w:ind w:left="69" w:right="0" w:firstLine="0"/>
        <w:jc w:val="left"/>
        <w:rPr>
          <w:sz w:val="22"/>
        </w:rPr>
      </w:pPr>
      <w:r>
        <w:rPr>
          <w:spacing w:val="-2"/>
          <w:sz w:val="22"/>
        </w:rPr>
        <w:t>Link:</w:t>
      </w:r>
    </w:p>
    <w:p>
      <w:pPr>
        <w:spacing w:before="12"/>
        <w:ind w:left="69" w:right="0" w:firstLine="0"/>
        <w:jc w:val="left"/>
        <w:rPr>
          <w:sz w:val="22"/>
        </w:rPr>
      </w:pPr>
      <w:hyperlink r:id="rId18">
        <w:r>
          <w:rPr>
            <w:sz w:val="22"/>
            <w:u w:val="single"/>
          </w:rPr>
          <w:t>https://devpolicy.org/preconditions-needed-to-meet-new-global-target-on-disability-inclusion-</w:t>
        </w:r>
        <w:r>
          <w:rPr>
            <w:spacing w:val="-2"/>
            <w:sz w:val="22"/>
            <w:u w:val="single"/>
          </w:rPr>
          <w:t>20250429/</w:t>
        </w:r>
      </w:hyperlink>
    </w:p>
    <w:sectPr>
      <w:pgSz w:w="11910" w:h="16840"/>
      <w:pgMar w:header="710" w:footer="690" w:top="1360" w:bottom="88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529472">
              <wp:simplePos x="0" y="0"/>
              <wp:positionH relativeFrom="page">
                <wp:posOffset>546354</wp:posOffset>
              </wp:positionH>
              <wp:positionV relativeFrom="page">
                <wp:posOffset>10075900</wp:posOffset>
              </wp:positionV>
              <wp:extent cx="6467475" cy="127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467475" cy="12700"/>
                        <a:chExt cx="6467475" cy="12700"/>
                      </a:xfrm>
                    </wpg:grpSpPr>
                    <wps:wsp>
                      <wps:cNvPr id="3" name="Graphic 3"/>
                      <wps:cNvSpPr/>
                      <wps:spPr>
                        <a:xfrm>
                          <a:off x="0" y="6350"/>
                          <a:ext cx="5240020" cy="1270"/>
                        </a:xfrm>
                        <a:custGeom>
                          <a:avLst/>
                          <a:gdLst/>
                          <a:ahLst/>
                          <a:cxnLst/>
                          <a:rect l="l" t="t" r="r" b="b"/>
                          <a:pathLst>
                            <a:path w="5240020" h="0">
                              <a:moveTo>
                                <a:pt x="0" y="0"/>
                              </a:moveTo>
                              <a:lnTo>
                                <a:pt x="5239931" y="0"/>
                              </a:lnTo>
                            </a:path>
                          </a:pathLst>
                        </a:custGeom>
                        <a:ln w="12700">
                          <a:solidFill>
                            <a:srgbClr val="D77900"/>
                          </a:solidFill>
                          <a:prstDash val="solid"/>
                        </a:ln>
                      </wps:spPr>
                      <wps:bodyPr wrap="square" lIns="0" tIns="0" rIns="0" bIns="0" rtlCol="0">
                        <a:prstTxWarp prst="textNoShape">
                          <a:avLst/>
                        </a:prstTxWarp>
                        <a:noAutofit/>
                      </wps:bodyPr>
                    </wps:wsp>
                    <wps:wsp>
                      <wps:cNvPr id="4" name="Graphic 4"/>
                      <wps:cNvSpPr/>
                      <wps:spPr>
                        <a:xfrm>
                          <a:off x="5233580" y="6350"/>
                          <a:ext cx="1233805" cy="1270"/>
                        </a:xfrm>
                        <a:custGeom>
                          <a:avLst/>
                          <a:gdLst/>
                          <a:ahLst/>
                          <a:cxnLst/>
                          <a:rect l="l" t="t" r="r" b="b"/>
                          <a:pathLst>
                            <a:path w="1233805" h="0">
                              <a:moveTo>
                                <a:pt x="0" y="0"/>
                              </a:moveTo>
                              <a:lnTo>
                                <a:pt x="1233766" y="0"/>
                              </a:lnTo>
                            </a:path>
                          </a:pathLst>
                        </a:custGeom>
                        <a:ln w="12700">
                          <a:solidFill>
                            <a:srgbClr val="D779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02pt;margin-top:793.377991pt;width:509.25pt;height:1pt;mso-position-horizontal-relative:page;mso-position-vertical-relative:page;z-index:-15787008" id="docshapegroup1" coordorigin="860,15868" coordsize="10185,20">
              <v:line style="position:absolute" from="860,15878" to="9112,15878" stroked="true" strokeweight="1pt" strokecolor="#d77900">
                <v:stroke dashstyle="solid"/>
              </v:line>
              <v:line style="position:absolute" from="9102,15878" to="11045,15878" stroked="true" strokeweight="1pt" strokecolor="#d77900">
                <v:stroke dashstyle="solid"/>
              </v:line>
              <w10:wrap type="none"/>
            </v:group>
          </w:pict>
        </mc:Fallback>
      </mc:AlternateContent>
    </w:r>
    <w:r>
      <w:rPr>
        <w:sz w:val="20"/>
      </w:rPr>
      <mc:AlternateContent>
        <mc:Choice Requires="wps">
          <w:drawing>
            <wp:anchor distT="0" distB="0" distL="0" distR="0" allowOverlap="1" layoutInCell="1" locked="0" behindDoc="1" simplePos="0" relativeHeight="487529984">
              <wp:simplePos x="0" y="0"/>
              <wp:positionH relativeFrom="page">
                <wp:posOffset>559054</wp:posOffset>
              </wp:positionH>
              <wp:positionV relativeFrom="page">
                <wp:posOffset>10177212</wp:posOffset>
              </wp:positionV>
              <wp:extent cx="2940685" cy="1676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940685" cy="167640"/>
                      </a:xfrm>
                      <a:prstGeom prst="rect">
                        <a:avLst/>
                      </a:prstGeom>
                    </wps:spPr>
                    <wps:txbx>
                      <w:txbxContent>
                        <w:p>
                          <w:pPr>
                            <w:spacing w:before="13"/>
                            <w:ind w:left="20" w:right="0" w:firstLine="0"/>
                            <w:jc w:val="left"/>
                            <w:rPr>
                              <w:sz w:val="20"/>
                            </w:rPr>
                          </w:pPr>
                          <w:r>
                            <w:rPr>
                              <w:sz w:val="20"/>
                            </w:rPr>
                            <w:t>Devpolicy Blog from the Development Policy </w:t>
                          </w:r>
                          <w:r>
                            <w:rPr>
                              <w:spacing w:val="-2"/>
                              <w:sz w:val="20"/>
                            </w:rPr>
                            <w:t>Centre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02pt;margin-top:801.355286pt;width:231.55pt;height:13.2pt;mso-position-horizontal-relative:page;mso-position-vertical-relative:page;z-index:-15786496" type="#_x0000_t202" id="docshape2" filled="false" stroked="false">
              <v:textbox inset="0,0,0,0">
                <w:txbxContent>
                  <w:p>
                    <w:pPr>
                      <w:spacing w:before="13"/>
                      <w:ind w:left="20" w:right="0" w:firstLine="0"/>
                      <w:jc w:val="left"/>
                      <w:rPr>
                        <w:sz w:val="20"/>
                      </w:rPr>
                    </w:pPr>
                    <w:r>
                      <w:rPr>
                        <w:sz w:val="20"/>
                      </w:rPr>
                      <w:t>Devpolicy Blog from the Development Policy </w:t>
                    </w:r>
                    <w:r>
                      <w:rPr>
                        <w:spacing w:val="-2"/>
                        <w:sz w:val="20"/>
                      </w:rPr>
                      <w:t>Centre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30496">
              <wp:simplePos x="0" y="0"/>
              <wp:positionH relativeFrom="page">
                <wp:posOffset>6325996</wp:posOffset>
              </wp:positionH>
              <wp:positionV relativeFrom="page">
                <wp:posOffset>10177212</wp:posOffset>
              </wp:positionV>
              <wp:extent cx="675640" cy="1676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75640" cy="167640"/>
                      </a:xfrm>
                      <a:prstGeom prst="rect">
                        <a:avLst/>
                      </a:prstGeom>
                    </wps:spPr>
                    <wps:txbx>
                      <w:txbxContent>
                        <w:p>
                          <w:pPr>
                            <w:spacing w:before="13"/>
                            <w:ind w:left="20" w:right="0" w:firstLine="0"/>
                            <w:jc w:val="left"/>
                            <w:rPr>
                              <w:sz w:val="20"/>
                            </w:rPr>
                          </w:pPr>
                          <w:r>
                            <w:rPr>
                              <w:sz w:val="20"/>
                            </w:rPr>
                            <w:t>Page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of </w:t>
                          </w:r>
                          <w:r>
                            <w:rPr>
                              <w:spacing w:val="-10"/>
                              <w:sz w:val="20"/>
                            </w:rPr>
                            <w:fldChar w:fldCharType="begin"/>
                          </w:r>
                          <w:r>
                            <w:rPr>
                              <w:spacing w:val="-10"/>
                              <w:sz w:val="20"/>
                            </w:rPr>
                            <w:instrText> NUMPAGES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498.109985pt;margin-top:801.355286pt;width:53.2pt;height:13.2pt;mso-position-horizontal-relative:page;mso-position-vertical-relative:page;z-index:-15785984" type="#_x0000_t202" id="docshape3" filled="false" stroked="false">
              <v:textbox inset="0,0,0,0">
                <w:txbxContent>
                  <w:p>
                    <w:pPr>
                      <w:spacing w:before="13"/>
                      <w:ind w:left="20" w:right="0" w:firstLine="0"/>
                      <w:jc w:val="left"/>
                      <w:rPr>
                        <w:sz w:val="20"/>
                      </w:rPr>
                    </w:pPr>
                    <w:r>
                      <w:rPr>
                        <w:sz w:val="20"/>
                      </w:rPr>
                      <w:t>Page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of </w:t>
                    </w:r>
                    <w:r>
                      <w:rPr>
                        <w:spacing w:val="-10"/>
                        <w:sz w:val="20"/>
                      </w:rPr>
                      <w:fldChar w:fldCharType="begin"/>
                    </w:r>
                    <w:r>
                      <w:rPr>
                        <w:spacing w:val="-10"/>
                        <w:sz w:val="20"/>
                      </w:rPr>
                      <w:instrText> NUMPAGES </w:instrText>
                    </w:r>
                    <w:r>
                      <w:rPr>
                        <w:spacing w:val="-10"/>
                        <w:sz w:val="20"/>
                      </w:rPr>
                      <w:fldChar w:fldCharType="separate"/>
                    </w:r>
                    <w:r>
                      <w:rPr>
                        <w:spacing w:val="-10"/>
                        <w:sz w:val="20"/>
                      </w:rPr>
                      <w:t>4</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528960">
          <wp:simplePos x="0" y="0"/>
          <wp:positionH relativeFrom="page">
            <wp:posOffset>2827527</wp:posOffset>
          </wp:positionH>
          <wp:positionV relativeFrom="page">
            <wp:posOffset>451002</wp:posOffset>
          </wp:positionV>
          <wp:extent cx="1905000" cy="2705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905000" cy="27050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ind w:left="260"/>
    </w:pPr>
    <w:rPr>
      <w:rFonts w:ascii="Arial MT" w:hAnsi="Arial MT" w:eastAsia="Arial MT" w:cs="Arial MT"/>
      <w:sz w:val="26"/>
      <w:szCs w:val="26"/>
      <w:lang w:val="en-US" w:eastAsia="en-US" w:bidi="ar-SA"/>
    </w:rPr>
  </w:style>
  <w:style w:styleId="Heading1" w:type="paragraph">
    <w:name w:val="Heading 1"/>
    <w:basedOn w:val="Normal"/>
    <w:uiPriority w:val="1"/>
    <w:qFormat/>
    <w:pPr>
      <w:ind w:left="69"/>
      <w:outlineLvl w:val="1"/>
    </w:pPr>
    <w:rPr>
      <w:rFonts w:ascii="Arial" w:hAnsi="Arial" w:eastAsia="Arial" w:cs="Arial"/>
      <w:b/>
      <w:bCs/>
      <w:sz w:val="26"/>
      <w:szCs w:val="26"/>
      <w:lang w:val="en-US" w:eastAsia="en-US" w:bidi="ar-SA"/>
    </w:rPr>
  </w:style>
  <w:style w:styleId="Title" w:type="paragraph">
    <w:name w:val="Title"/>
    <w:basedOn w:val="Normal"/>
    <w:uiPriority w:val="1"/>
    <w:qFormat/>
    <w:pPr>
      <w:spacing w:before="87"/>
      <w:ind w:left="20"/>
    </w:pPr>
    <w:rPr>
      <w:rFonts w:ascii="Arial" w:hAnsi="Arial" w:eastAsia="Arial" w:cs="Arial"/>
      <w:b/>
      <w:bCs/>
      <w:sz w:val="54"/>
      <w:szCs w:val="5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yperlink" Target="https://www.linkedin.com/posts/global-disability-summit_day-2-of-the-global-disability-summit-activity-7313960194751807488-eWGb?utm_source=social_share_send&amp;utm_medium=member_desktop_web&amp;rcm=ACoAAC8cDuIBcXZB38n7LX6Py7TuGQD1jz9Xif0" TargetMode="External"/><Relationship Id="rId9" Type="http://schemas.openxmlformats.org/officeDocument/2006/relationships/hyperlink" Target="https://www.globaldisabilitysummit.org/" TargetMode="External"/><Relationship Id="rId10" Type="http://schemas.openxmlformats.org/officeDocument/2006/relationships/hyperlink" Target="https://www.globaldisabilitysummit.org/resource/amman-berlin-declaration/" TargetMode="External"/><Relationship Id="rId11" Type="http://schemas.openxmlformats.org/officeDocument/2006/relationships/hyperlink" Target="https://www.who.int/news-room/fact-sheets/detail/disability-and-health" TargetMode="External"/><Relationship Id="rId12" Type="http://schemas.openxmlformats.org/officeDocument/2006/relationships/hyperlink" Target="https://www.dfat.gov.au/sites/default/files/australias-official-development-assistance-statistical-summary-2023-24.pdf" TargetMode="External"/><Relationship Id="rId13" Type="http://schemas.openxmlformats.org/officeDocument/2006/relationships/hyperlink" Target="https://pacificdisability.org/resources/" TargetMode="External"/><Relationship Id="rId14" Type="http://schemas.openxmlformats.org/officeDocument/2006/relationships/hyperlink" Target="https://www.dfat.gov.au/publications/publications/australias-international-disability-equity-and-rights-strategy-advancing-equity-transform-lives" TargetMode="External"/><Relationship Id="rId15" Type="http://schemas.openxmlformats.org/officeDocument/2006/relationships/hyperlink" Target="https://www.cbm.org.au/pre-conditions-to-inclusion" TargetMode="External"/><Relationship Id="rId16" Type="http://schemas.openxmlformats.org/officeDocument/2006/relationships/image" Target="media/image3.png"/><Relationship Id="rId17" Type="http://schemas.openxmlformats.org/officeDocument/2006/relationships/hyperlink" Target="https://pacificdisability.org/wp-content/uploads/2024/12/Preconditions-Issues-Paper-PDF-Complete-Series.pdf" TargetMode="External"/><Relationship Id="rId18" Type="http://schemas.openxmlformats.org/officeDocument/2006/relationships/hyperlink" Target="https://devpolicy.org/preconditions-needed-to-meet-new-global-target-on-disability-inclusion-202504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Sainimili Tawake (Sainimili Tawake)</dc:creator>
  <dc:title>Devpolicy Blog from the Development Policy Centre</dc:title>
  <dcterms:created xsi:type="dcterms:W3CDTF">2025-04-29T03:56:59Z</dcterms:created>
  <dcterms:modified xsi:type="dcterms:W3CDTF">2025-04-29T03:56:59Z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wp-mpdf</vt:lpwstr>
  </property>
  <property fmtid="{D5CDD505-2E9C-101B-9397-08002B2CF9AE}" pid="4" name="LastSaved">
    <vt:filetime>2025-04-29T00:00:00Z</vt:filetime>
  </property>
  <property fmtid="{D5CDD505-2E9C-101B-9397-08002B2CF9AE}" pid="5" name="Producer">
    <vt:lpwstr>mPDF 8.2.2</vt:lpwstr>
  </property>
</Properties>
</file>